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86187">
      <w:pPr>
        <w:pStyle w:val="617"/>
        <w:ind w:firstLine="503"/>
        <w:rPr>
          <w:w w:val="90"/>
        </w:rPr>
      </w:pPr>
      <w:bookmarkStart w:id="0" w:name="_Toc485652396"/>
    </w:p>
    <w:p w14:paraId="68C1350E">
      <w:pPr>
        <w:pStyle w:val="617"/>
        <w:ind w:firstLine="503"/>
        <w:rPr>
          <w:w w:val="90"/>
        </w:rPr>
      </w:pPr>
    </w:p>
    <w:p w14:paraId="71BF2064">
      <w:pPr>
        <w:pStyle w:val="617"/>
        <w:ind w:firstLine="503"/>
        <w:rPr>
          <w:w w:val="90"/>
        </w:rPr>
      </w:pPr>
    </w:p>
    <w:p w14:paraId="7170C9AF">
      <w:pPr>
        <w:pStyle w:val="618"/>
        <w:ind w:firstLine="0" w:firstLineChars="0"/>
        <w:jc w:val="center"/>
        <w:rPr>
          <w:b/>
          <w:w w:val="90"/>
          <w:sz w:val="48"/>
          <w:szCs w:val="48"/>
        </w:rPr>
      </w:pPr>
      <w:r>
        <w:rPr>
          <w:b/>
          <w:w w:val="90"/>
          <w:sz w:val="48"/>
          <w:szCs w:val="48"/>
        </w:rPr>
        <w:t>内蒙古包头装备制造产业园区</w:t>
      </w:r>
    </w:p>
    <w:p w14:paraId="309DFE87">
      <w:pPr>
        <w:pStyle w:val="618"/>
        <w:ind w:firstLine="0" w:firstLineChars="0"/>
        <w:jc w:val="center"/>
        <w:rPr>
          <w:rFonts w:eastAsiaTheme="minorEastAsia"/>
          <w:b/>
          <w:sz w:val="48"/>
          <w:szCs w:val="48"/>
        </w:rPr>
      </w:pPr>
      <w:r>
        <w:rPr>
          <w:b/>
          <w:w w:val="90"/>
          <w:sz w:val="48"/>
          <w:szCs w:val="48"/>
        </w:rPr>
        <w:t>产业发展规划（2024～2035年）</w:t>
      </w:r>
    </w:p>
    <w:p w14:paraId="4E2190E5">
      <w:pPr>
        <w:pStyle w:val="618"/>
        <w:ind w:firstLine="560"/>
        <w:jc w:val="center"/>
      </w:pPr>
    </w:p>
    <w:p w14:paraId="365559C3">
      <w:pPr>
        <w:pStyle w:val="618"/>
        <w:ind w:firstLine="560"/>
        <w:jc w:val="center"/>
      </w:pPr>
    </w:p>
    <w:p w14:paraId="1D875515">
      <w:pPr>
        <w:pStyle w:val="618"/>
        <w:ind w:firstLine="560"/>
        <w:jc w:val="center"/>
      </w:pPr>
    </w:p>
    <w:p w14:paraId="27126473">
      <w:pPr>
        <w:pStyle w:val="618"/>
        <w:ind w:firstLine="560"/>
        <w:jc w:val="center"/>
      </w:pPr>
    </w:p>
    <w:p w14:paraId="15C5B6B8">
      <w:pPr>
        <w:pStyle w:val="618"/>
        <w:ind w:firstLine="560"/>
        <w:jc w:val="center"/>
      </w:pPr>
    </w:p>
    <w:p w14:paraId="2DDB5F0E">
      <w:pPr>
        <w:pStyle w:val="618"/>
        <w:ind w:firstLine="560"/>
        <w:jc w:val="center"/>
      </w:pPr>
    </w:p>
    <w:p w14:paraId="619D443B">
      <w:pPr>
        <w:pStyle w:val="618"/>
        <w:ind w:firstLine="560"/>
        <w:jc w:val="center"/>
      </w:pPr>
    </w:p>
    <w:p w14:paraId="0176E7D9">
      <w:pPr>
        <w:pStyle w:val="618"/>
        <w:ind w:firstLine="560"/>
        <w:jc w:val="center"/>
      </w:pPr>
    </w:p>
    <w:p w14:paraId="1F435C95">
      <w:pPr>
        <w:pStyle w:val="618"/>
        <w:ind w:firstLine="560"/>
        <w:jc w:val="center"/>
      </w:pPr>
    </w:p>
    <w:p w14:paraId="76A6668E">
      <w:pPr>
        <w:pStyle w:val="618"/>
        <w:ind w:firstLine="560"/>
        <w:jc w:val="center"/>
      </w:pPr>
    </w:p>
    <w:p w14:paraId="6A7B2300">
      <w:pPr>
        <w:pStyle w:val="618"/>
        <w:ind w:firstLine="560"/>
        <w:jc w:val="center"/>
      </w:pPr>
    </w:p>
    <w:p w14:paraId="46959FEF">
      <w:pPr>
        <w:pStyle w:val="618"/>
        <w:ind w:firstLine="560"/>
        <w:jc w:val="center"/>
      </w:pPr>
    </w:p>
    <w:p w14:paraId="11F5B42D">
      <w:pPr>
        <w:pStyle w:val="618"/>
        <w:ind w:firstLine="560"/>
        <w:jc w:val="center"/>
      </w:pPr>
    </w:p>
    <w:p w14:paraId="0057CA09">
      <w:pPr>
        <w:pStyle w:val="618"/>
        <w:ind w:firstLine="560"/>
        <w:jc w:val="center"/>
      </w:pPr>
    </w:p>
    <w:p w14:paraId="09A17F21">
      <w:pPr>
        <w:pStyle w:val="618"/>
        <w:ind w:firstLine="560"/>
        <w:jc w:val="center"/>
      </w:pPr>
    </w:p>
    <w:p w14:paraId="176C2294">
      <w:pPr>
        <w:pStyle w:val="618"/>
        <w:ind w:firstLine="560"/>
        <w:jc w:val="center"/>
      </w:pPr>
    </w:p>
    <w:p w14:paraId="3B2DF9B8">
      <w:pPr>
        <w:pStyle w:val="618"/>
        <w:ind w:firstLine="560"/>
        <w:jc w:val="center"/>
      </w:pPr>
    </w:p>
    <w:p w14:paraId="5EDFDD43">
      <w:pPr>
        <w:pStyle w:val="618"/>
        <w:ind w:firstLine="643"/>
        <w:jc w:val="center"/>
        <w:rPr>
          <w:b/>
          <w:sz w:val="32"/>
        </w:rPr>
      </w:pPr>
      <w:r>
        <w:rPr>
          <w:b/>
          <w:sz w:val="32"/>
        </w:rPr>
        <w:t>编制单位：中冶西北工程技术有限公司</w:t>
      </w:r>
    </w:p>
    <w:p w14:paraId="6AE9CB3F">
      <w:pPr>
        <w:pStyle w:val="618"/>
        <w:ind w:firstLine="643"/>
        <w:jc w:val="center"/>
        <w:rPr>
          <w:b/>
          <w:sz w:val="32"/>
        </w:rPr>
      </w:pPr>
      <w:r>
        <w:rPr>
          <w:b/>
          <w:sz w:val="32"/>
        </w:rPr>
        <w:t>2024年12月</w:t>
      </w:r>
    </w:p>
    <w:p w14:paraId="099A3B8C">
      <w:pPr>
        <w:pStyle w:val="618"/>
        <w:ind w:firstLine="602"/>
        <w:rPr>
          <w:rFonts w:eastAsiaTheme="minorEastAsia"/>
          <w:b/>
          <w:bCs/>
          <w:color w:val="000000" w:themeColor="text1"/>
          <w:sz w:val="30"/>
          <w:szCs w:val="30"/>
          <w14:textFill>
            <w14:solidFill>
              <w14:schemeClr w14:val="tx1"/>
            </w14:solidFill>
          </w14:textFill>
        </w:rPr>
      </w:pPr>
      <w:r>
        <w:rPr>
          <w:rFonts w:eastAsiaTheme="minorEastAsia"/>
          <w:b/>
          <w:bCs/>
          <w:color w:val="000000" w:themeColor="text1"/>
          <w:sz w:val="30"/>
          <w:szCs w:val="30"/>
          <w14:textFill>
            <w14:solidFill>
              <w14:schemeClr w14:val="tx1"/>
            </w14:solidFill>
          </w14:textFill>
        </w:rPr>
        <w:br w:type="page"/>
      </w:r>
    </w:p>
    <w:bookmarkEnd w:id="0"/>
    <w:sdt>
      <w:sdtPr>
        <w:rPr>
          <w:rFonts w:ascii="Times New Roman" w:hAnsi="Times New Roman" w:eastAsia="宋体" w:cs="Times New Roman"/>
          <w:b w:val="0"/>
          <w:bCs/>
          <w:color w:val="000000" w:themeColor="text1"/>
          <w:kern w:val="2"/>
          <w:sz w:val="24"/>
          <w:szCs w:val="24"/>
          <w:lang w:val="zh-CN"/>
          <w14:textFill>
            <w14:solidFill>
              <w14:schemeClr w14:val="tx1"/>
            </w14:solidFill>
          </w14:textFill>
        </w:rPr>
        <w:id w:val="1667814098"/>
        <w:docPartObj>
          <w:docPartGallery w:val="Table of Contents"/>
          <w:docPartUnique/>
        </w:docPartObj>
      </w:sdtPr>
      <w:sdtEndPr>
        <w:rPr>
          <w:rFonts w:ascii="Times New Roman" w:hAnsi="Times New Roman" w:eastAsia="宋体" w:cs="Times New Roman"/>
          <w:b w:val="0"/>
          <w:bCs/>
          <w:color w:val="000000" w:themeColor="text1"/>
          <w:kern w:val="2"/>
          <w:sz w:val="28"/>
          <w:szCs w:val="24"/>
          <w:lang w:val="zh-CN"/>
          <w14:textFill>
            <w14:solidFill>
              <w14:schemeClr w14:val="tx1"/>
            </w14:solidFill>
          </w14:textFill>
        </w:rPr>
      </w:sdtEndPr>
      <w:sdtContent>
        <w:p w14:paraId="57FA7D79">
          <w:pPr>
            <w:pStyle w:val="114"/>
            <w:numPr>
              <w:ilvl w:val="0"/>
              <w:numId w:val="0"/>
            </w:numPr>
            <w:snapToGrid w:val="0"/>
            <w:spacing w:before="240" w:after="240"/>
            <w:ind w:left="480"/>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zh-CN"/>
              <w14:textFill>
                <w14:solidFill>
                  <w14:schemeClr w14:val="tx1"/>
                </w14:solidFill>
              </w14:textFill>
            </w:rPr>
            <w:t>目录</w:t>
          </w:r>
        </w:p>
        <w:p w14:paraId="70AB080F">
          <w:pPr>
            <w:pStyle w:val="44"/>
            <w:ind w:firstLine="562"/>
            <w:rPr>
              <w:rFonts w:asciiTheme="minorHAnsi" w:hAnsiTheme="minorHAnsi" w:eastAsiaTheme="minorEastAsia" w:cstheme="minorBidi"/>
              <w:b w:val="0"/>
              <w:bCs w:val="0"/>
              <w:sz w:val="21"/>
              <w:szCs w:val="22"/>
            </w:rPr>
          </w:pPr>
          <w:r>
            <w:rPr>
              <w:color w:val="000000" w:themeColor="text1"/>
              <w:szCs w:val="28"/>
              <w14:textFill>
                <w14:solidFill>
                  <w14:schemeClr w14:val="tx1"/>
                </w14:solidFill>
              </w14:textFill>
            </w:rPr>
            <w:fldChar w:fldCharType="begin"/>
          </w:r>
          <w:r>
            <w:rPr>
              <w:color w:val="000000" w:themeColor="text1"/>
              <w:szCs w:val="28"/>
              <w14:textFill>
                <w14:solidFill>
                  <w14:schemeClr w14:val="tx1"/>
                </w14:solidFill>
              </w14:textFill>
            </w:rPr>
            <w:instrText xml:space="preserve"> TOC \o "1-3" \h \z \u </w:instrText>
          </w:r>
          <w:r>
            <w:rPr>
              <w:color w:val="000000" w:themeColor="text1"/>
              <w:szCs w:val="28"/>
              <w14:textFill>
                <w14:solidFill>
                  <w14:schemeClr w14:val="tx1"/>
                </w14:solidFill>
              </w14:textFill>
            </w:rPr>
            <w:fldChar w:fldCharType="separate"/>
          </w:r>
          <w:r>
            <w:fldChar w:fldCharType="begin"/>
          </w:r>
          <w:r>
            <w:instrText xml:space="preserve"> HYPERLINK \l "_Toc192675854" </w:instrText>
          </w:r>
          <w:r>
            <w:fldChar w:fldCharType="separate"/>
          </w:r>
          <w:r>
            <w:rPr>
              <w:rStyle w:val="77"/>
              <w:rFonts w:eastAsia="黑体"/>
            </w:rPr>
            <w:t>1 总论</w:t>
          </w:r>
          <w:r>
            <w:tab/>
          </w:r>
          <w:r>
            <w:fldChar w:fldCharType="begin"/>
          </w:r>
          <w:r>
            <w:instrText xml:space="preserve"> PAGEREF _Toc192675854 \h </w:instrText>
          </w:r>
          <w:r>
            <w:fldChar w:fldCharType="separate"/>
          </w:r>
          <w:r>
            <w:t>1</w:t>
          </w:r>
          <w:r>
            <w:fldChar w:fldCharType="end"/>
          </w:r>
          <w:r>
            <w:fldChar w:fldCharType="end"/>
          </w:r>
        </w:p>
        <w:p w14:paraId="6DD3D207">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"_Toc192675855" </w:instrText>
          </w:r>
          <w:r>
            <w:fldChar w:fldCharType="separate"/>
          </w:r>
          <w:r>
            <w:rPr>
              <w:rStyle w:val="77"/>
              <w:rFonts w:eastAsia="黑体"/>
              <w:b/>
            </w:rPr>
            <w:t>1.1</w:t>
          </w:r>
          <w:r>
            <w:rPr>
              <w:rFonts w:asciiTheme="minorHAnsi" w:hAnsiTheme="minorHAnsi" w:eastAsiaTheme="minorEastAsia" w:cstheme="minorBidi"/>
              <w:bCs w:val="0"/>
              <w:sz w:val="21"/>
              <w:szCs w:val="22"/>
            </w:rPr>
            <w:tab/>
          </w:r>
          <w:r>
            <w:rPr>
              <w:rStyle w:val="77"/>
              <w:rFonts w:eastAsia="黑体"/>
              <w:b/>
            </w:rPr>
            <w:t>规划背景</w:t>
          </w:r>
          <w:r>
            <w:tab/>
          </w:r>
          <w:r>
            <w:fldChar w:fldCharType="begin"/>
          </w:r>
          <w:r>
            <w:instrText xml:space="preserve"> PAGEREF _Toc192675855 \h </w:instrText>
          </w:r>
          <w:r>
            <w:fldChar w:fldCharType="separate"/>
          </w:r>
          <w:r>
            <w:t>1</w:t>
          </w:r>
          <w:r>
            <w:fldChar w:fldCharType="end"/>
          </w:r>
          <w:r>
            <w:fldChar w:fldCharType="end"/>
          </w:r>
        </w:p>
        <w:p w14:paraId="3F9E24D0">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"_Toc192675856" </w:instrText>
          </w:r>
          <w:r>
            <w:fldChar w:fldCharType="separate"/>
          </w:r>
          <w:r>
            <w:rPr>
              <w:rStyle w:val="77"/>
              <w:rFonts w:eastAsia="黑体"/>
              <w:b/>
            </w:rPr>
            <w:t>1.2</w:t>
          </w:r>
          <w:r>
            <w:rPr>
              <w:rFonts w:asciiTheme="minorHAnsi" w:hAnsiTheme="minorHAnsi" w:eastAsiaTheme="minorEastAsia" w:cstheme="minorBidi"/>
              <w:bCs w:val="0"/>
              <w:sz w:val="21"/>
              <w:szCs w:val="22"/>
            </w:rPr>
            <w:tab/>
          </w:r>
          <w:r>
            <w:rPr>
              <w:rStyle w:val="77"/>
              <w:rFonts w:eastAsia="黑体"/>
              <w:b/>
            </w:rPr>
            <w:t>规划原则</w:t>
          </w:r>
          <w:r>
            <w:tab/>
          </w:r>
          <w:r>
            <w:fldChar w:fldCharType="begin"/>
          </w:r>
          <w:r>
            <w:instrText xml:space="preserve"> PAGEREF _Toc192675856 \h </w:instrText>
          </w:r>
          <w:r>
            <w:fldChar w:fldCharType="separate"/>
          </w:r>
          <w:r>
            <w:t>2</w:t>
          </w:r>
          <w:r>
            <w:fldChar w:fldCharType="end"/>
          </w:r>
          <w:r>
            <w:fldChar w:fldCharType="end"/>
          </w:r>
        </w:p>
        <w:p w14:paraId="374872E6">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"_Toc192675857" </w:instrText>
          </w:r>
          <w:r>
            <w:fldChar w:fldCharType="separate"/>
          </w:r>
          <w:r>
            <w:rPr>
              <w:rStyle w:val="77"/>
              <w:rFonts w:eastAsia="黑体"/>
              <w:b/>
            </w:rPr>
            <w:t>1.3</w:t>
          </w:r>
          <w:r>
            <w:rPr>
              <w:rFonts w:asciiTheme="minorHAnsi" w:hAnsiTheme="minorHAnsi" w:eastAsiaTheme="minorEastAsia" w:cstheme="minorBidi"/>
              <w:bCs w:val="0"/>
              <w:sz w:val="21"/>
              <w:szCs w:val="22"/>
            </w:rPr>
            <w:tab/>
          </w:r>
          <w:r>
            <w:rPr>
              <w:rStyle w:val="77"/>
              <w:rFonts w:eastAsia="黑体"/>
              <w:b/>
            </w:rPr>
            <w:t>规划范围</w:t>
          </w:r>
          <w:r>
            <w:tab/>
          </w:r>
          <w:r>
            <w:fldChar w:fldCharType="begin"/>
          </w:r>
          <w:r>
            <w:instrText xml:space="preserve"> PAGEREF _Toc192675857 \h </w:instrText>
          </w:r>
          <w:r>
            <w:fldChar w:fldCharType="separate"/>
          </w:r>
          <w:r>
            <w:t>3</w:t>
          </w:r>
          <w:r>
            <w:fldChar w:fldCharType="end"/>
          </w:r>
          <w:r>
            <w:fldChar w:fldCharType="end"/>
          </w:r>
        </w:p>
        <w:p w14:paraId="25CDAE97">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"_Toc192675858" </w:instrText>
          </w:r>
          <w:r>
            <w:fldChar w:fldCharType="separate"/>
          </w:r>
          <w:r>
            <w:rPr>
              <w:rStyle w:val="77"/>
              <w:rFonts w:eastAsia="黑体"/>
              <w:b/>
            </w:rPr>
            <w:t>1.4</w:t>
          </w:r>
          <w:r>
            <w:rPr>
              <w:rFonts w:asciiTheme="minorHAnsi" w:hAnsiTheme="minorHAnsi" w:eastAsiaTheme="minorEastAsia" w:cstheme="minorBidi"/>
              <w:bCs w:val="0"/>
              <w:sz w:val="21"/>
              <w:szCs w:val="22"/>
            </w:rPr>
            <w:tab/>
          </w:r>
          <w:r>
            <w:rPr>
              <w:rStyle w:val="77"/>
              <w:rFonts w:eastAsia="黑体"/>
              <w:b/>
            </w:rPr>
            <w:t>规划期限</w:t>
          </w:r>
          <w:r>
            <w:tab/>
          </w:r>
          <w:r>
            <w:fldChar w:fldCharType="begin"/>
          </w:r>
          <w:r>
            <w:instrText xml:space="preserve"> PAGEREF _Toc192675858 \h </w:instrText>
          </w:r>
          <w:r>
            <w:fldChar w:fldCharType="separate"/>
          </w:r>
          <w:r>
            <w:t>5</w:t>
          </w:r>
          <w:r>
            <w:fldChar w:fldCharType="end"/>
          </w:r>
          <w:r>
            <w:fldChar w:fldCharType="end"/>
          </w:r>
        </w:p>
        <w:p w14:paraId="429EE70C">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"_Toc192675859" </w:instrText>
          </w:r>
          <w:r>
            <w:fldChar w:fldCharType="separate"/>
          </w:r>
          <w:r>
            <w:rPr>
              <w:rStyle w:val="77"/>
              <w:rFonts w:eastAsia="黑体"/>
              <w:b/>
            </w:rPr>
            <w:t>1.5</w:t>
          </w:r>
          <w:r>
            <w:rPr>
              <w:rFonts w:asciiTheme="minorHAnsi" w:hAnsiTheme="minorHAnsi" w:eastAsiaTheme="minorEastAsia" w:cstheme="minorBidi"/>
              <w:bCs w:val="0"/>
              <w:sz w:val="21"/>
              <w:szCs w:val="22"/>
            </w:rPr>
            <w:tab/>
          </w:r>
          <w:r>
            <w:rPr>
              <w:rStyle w:val="77"/>
              <w:rFonts w:eastAsia="黑体"/>
              <w:b/>
            </w:rPr>
            <w:t>规划依据</w:t>
          </w:r>
          <w:r>
            <w:tab/>
          </w:r>
          <w:r>
            <w:fldChar w:fldCharType="begin"/>
          </w:r>
          <w:r>
            <w:instrText xml:space="preserve"> PAGEREF _Toc192675859 \h </w:instrText>
          </w:r>
          <w:r>
            <w:fldChar w:fldCharType="separate"/>
          </w:r>
          <w:r>
            <w:t>5</w:t>
          </w:r>
          <w:r>
            <w:fldChar w:fldCharType="end"/>
          </w:r>
          <w:r>
            <w:fldChar w:fldCharType="end"/>
          </w:r>
        </w:p>
        <w:p w14:paraId="7D3E57C9">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"_Toc192675860" </w:instrText>
          </w:r>
          <w:r>
            <w:fldChar w:fldCharType="separate"/>
          </w:r>
          <w:r>
            <w:rPr>
              <w:rStyle w:val="77"/>
              <w:rFonts w:eastAsia="黑体"/>
            </w:rPr>
            <w:t>2 发展条件和基础</w:t>
          </w:r>
          <w:r>
            <w:tab/>
          </w:r>
          <w:r>
            <w:fldChar w:fldCharType="begin"/>
          </w:r>
          <w:r>
            <w:instrText xml:space="preserve"> PAGEREF _Toc192675860 \h </w:instrText>
          </w:r>
          <w:r>
            <w:fldChar w:fldCharType="separate"/>
          </w:r>
          <w:r>
            <w:t>8</w:t>
          </w:r>
          <w:r>
            <w:fldChar w:fldCharType="end"/>
          </w:r>
          <w:r>
            <w:fldChar w:fldCharType="end"/>
          </w:r>
        </w:p>
        <w:p w14:paraId="3B92118D">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"_Toc192675862" </w:instrText>
          </w:r>
          <w:r>
            <w:fldChar w:fldCharType="separate"/>
          </w:r>
          <w:r>
            <w:rPr>
              <w:rStyle w:val="77"/>
              <w:rFonts w:eastAsia="黑体"/>
              <w:b/>
            </w:rPr>
            <w:t>2.1</w:t>
          </w:r>
          <w:r>
            <w:rPr>
              <w:rFonts w:asciiTheme="minorHAnsi" w:hAnsiTheme="minorHAnsi" w:eastAsiaTheme="minorEastAsia" w:cstheme="minorBidi"/>
              <w:bCs w:val="0"/>
              <w:sz w:val="21"/>
              <w:szCs w:val="22"/>
            </w:rPr>
            <w:tab/>
          </w:r>
          <w:r>
            <w:rPr>
              <w:rStyle w:val="77"/>
              <w:rFonts w:eastAsia="黑体"/>
              <w:b/>
            </w:rPr>
            <w:t>包头市社会经济发展情况</w:t>
          </w:r>
          <w:r>
            <w:tab/>
          </w:r>
          <w:r>
            <w:fldChar w:fldCharType="begin"/>
          </w:r>
          <w:r>
            <w:instrText xml:space="preserve"> PAGEREF _Toc192675862 \h </w:instrText>
          </w:r>
          <w:r>
            <w:fldChar w:fldCharType="separate"/>
          </w:r>
          <w:r>
            <w:t>8</w:t>
          </w:r>
          <w:r>
            <w:fldChar w:fldCharType="end"/>
          </w:r>
          <w:r>
            <w:fldChar w:fldCharType="end"/>
          </w:r>
        </w:p>
        <w:p w14:paraId="0C7CFF6F">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"_Toc192675863" </w:instrText>
          </w:r>
          <w:r>
            <w:fldChar w:fldCharType="separate"/>
          </w:r>
          <w:r>
            <w:rPr>
              <w:rStyle w:val="77"/>
              <w:rFonts w:eastAsia="黑体"/>
              <w:b/>
            </w:rPr>
            <w:t>2.1.1</w:t>
          </w:r>
          <w:r>
            <w:rPr>
              <w:rFonts w:asciiTheme="minorHAnsi" w:hAnsiTheme="minorHAnsi" w:eastAsiaTheme="minorEastAsia" w:cstheme="minorBidi"/>
              <w:bCs w:val="0"/>
              <w:sz w:val="21"/>
              <w:szCs w:val="22"/>
            </w:rPr>
            <w:tab/>
          </w:r>
          <w:r>
            <w:rPr>
              <w:rStyle w:val="77"/>
              <w:rFonts w:eastAsia="黑体"/>
              <w:b/>
            </w:rPr>
            <w:t>自然地理及行政区划</w:t>
          </w:r>
          <w:r>
            <w:tab/>
          </w:r>
          <w:r>
            <w:fldChar w:fldCharType="begin"/>
          </w:r>
          <w:r>
            <w:instrText xml:space="preserve"> PAGEREF _Toc192675863 \h </w:instrText>
          </w:r>
          <w:r>
            <w:fldChar w:fldCharType="separate"/>
          </w:r>
          <w:r>
            <w:t>8</w:t>
          </w:r>
          <w:r>
            <w:fldChar w:fldCharType="end"/>
          </w:r>
          <w:r>
            <w:fldChar w:fldCharType="end"/>
          </w:r>
        </w:p>
        <w:p w14:paraId="5B894A1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"_Toc192675864" </w:instrText>
          </w:r>
          <w:r>
            <w:fldChar w:fldCharType="separate"/>
          </w:r>
          <w:r>
            <w:rPr>
              <w:rStyle w:val="77"/>
              <w:rFonts w:eastAsia="黑体"/>
              <w:b/>
            </w:rPr>
            <w:t>2.1.2</w:t>
          </w:r>
          <w:r>
            <w:rPr>
              <w:rFonts w:asciiTheme="minorHAnsi" w:hAnsiTheme="minorHAnsi" w:eastAsiaTheme="minorEastAsia" w:cstheme="minorBidi"/>
              <w:bCs w:val="0"/>
              <w:sz w:val="21"/>
              <w:szCs w:val="22"/>
            </w:rPr>
            <w:tab/>
          </w:r>
          <w:r>
            <w:rPr>
              <w:rStyle w:val="77"/>
              <w:rFonts w:eastAsia="黑体"/>
              <w:b/>
            </w:rPr>
            <w:t>1区位交通</w:t>
          </w:r>
          <w:r>
            <w:tab/>
          </w:r>
          <w:r>
            <w:fldChar w:fldCharType="begin"/>
          </w:r>
          <w:r>
            <w:instrText xml:space="preserve"> PAGEREF _Toc192675864 \h </w:instrText>
          </w:r>
          <w:r>
            <w:fldChar w:fldCharType="separate"/>
          </w:r>
          <w:r>
            <w:t>8</w:t>
          </w:r>
          <w:r>
            <w:fldChar w:fldCharType="end"/>
          </w:r>
          <w:r>
            <w:fldChar w:fldCharType="end"/>
          </w:r>
        </w:p>
        <w:p w14:paraId="0F86B0E2">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"_Toc192675865" </w:instrText>
          </w:r>
          <w:r>
            <w:fldChar w:fldCharType="separate"/>
          </w:r>
          <w:r>
            <w:rPr>
              <w:rStyle w:val="77"/>
              <w:rFonts w:eastAsia="黑体"/>
              <w:b/>
            </w:rPr>
            <w:t>2.2</w:t>
          </w:r>
          <w:r>
            <w:rPr>
              <w:rFonts w:asciiTheme="minorHAnsi" w:hAnsiTheme="minorHAnsi" w:eastAsiaTheme="minorEastAsia" w:cstheme="minorBidi"/>
              <w:bCs w:val="0"/>
              <w:sz w:val="21"/>
              <w:szCs w:val="22"/>
            </w:rPr>
            <w:tab/>
          </w:r>
          <w:r>
            <w:rPr>
              <w:rStyle w:val="77"/>
              <w:rFonts w:eastAsia="黑体"/>
              <w:b/>
            </w:rPr>
            <w:t>包头装备制造产业园区建设和发展现状</w:t>
          </w:r>
          <w:r>
            <w:tab/>
          </w:r>
          <w:r>
            <w:fldChar w:fldCharType="begin"/>
          </w:r>
          <w:r>
            <w:instrText xml:space="preserve"> PAGEREF _Toc192675865 \h </w:instrText>
          </w:r>
          <w:r>
            <w:fldChar w:fldCharType="separate"/>
          </w:r>
          <w:r>
            <w:t>10</w:t>
          </w:r>
          <w:r>
            <w:fldChar w:fldCharType="end"/>
          </w:r>
          <w:r>
            <w:fldChar w:fldCharType="end"/>
          </w:r>
        </w:p>
        <w:p w14:paraId="67A56412">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"_Toc192675866" </w:instrText>
          </w:r>
          <w:r>
            <w:fldChar w:fldCharType="separate"/>
          </w:r>
          <w:r>
            <w:rPr>
              <w:rStyle w:val="77"/>
              <w:rFonts w:eastAsia="黑体"/>
              <w:b/>
            </w:rPr>
            <w:t>2.2.1</w:t>
          </w:r>
          <w:r>
            <w:rPr>
              <w:rFonts w:asciiTheme="minorHAnsi" w:hAnsiTheme="minorHAnsi" w:eastAsiaTheme="minorEastAsia" w:cstheme="minorBidi"/>
              <w:bCs w:val="0"/>
              <w:sz w:val="21"/>
              <w:szCs w:val="22"/>
            </w:rPr>
            <w:tab/>
          </w:r>
          <w:r>
            <w:rPr>
              <w:rStyle w:val="77"/>
              <w:rFonts w:eastAsia="黑体"/>
              <w:b/>
            </w:rPr>
            <w:t>优势特色产业发展情况</w:t>
          </w:r>
          <w:r>
            <w:tab/>
          </w:r>
          <w:r>
            <w:fldChar w:fldCharType="begin"/>
          </w:r>
          <w:r>
            <w:instrText xml:space="preserve"> PAGEREF _Toc192675866 \h </w:instrText>
          </w:r>
          <w:r>
            <w:fldChar w:fldCharType="separate"/>
          </w:r>
          <w:r>
            <w:t>10</w:t>
          </w:r>
          <w:r>
            <w:fldChar w:fldCharType="end"/>
          </w:r>
          <w:r>
            <w:fldChar w:fldCharType="end"/>
          </w:r>
        </w:p>
        <w:p w14:paraId="741CF755">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"_Toc192675867" </w:instrText>
          </w:r>
          <w:r>
            <w:fldChar w:fldCharType="separate"/>
          </w:r>
          <w:r>
            <w:rPr>
              <w:rStyle w:val="77"/>
              <w:rFonts w:eastAsia="黑体"/>
              <w:b/>
            </w:rPr>
            <w:t>2.2.2</w:t>
          </w:r>
          <w:r>
            <w:rPr>
              <w:rFonts w:asciiTheme="minorHAnsi" w:hAnsiTheme="minorHAnsi" w:eastAsiaTheme="minorEastAsia" w:cstheme="minorBidi"/>
              <w:bCs w:val="0"/>
              <w:sz w:val="21"/>
              <w:szCs w:val="22"/>
            </w:rPr>
            <w:tab/>
          </w:r>
          <w:r>
            <w:rPr>
              <w:rStyle w:val="77"/>
              <w:rFonts w:eastAsia="黑体"/>
              <w:b/>
            </w:rPr>
            <w:t>产业发展现状</w:t>
          </w:r>
          <w:r>
            <w:tab/>
          </w:r>
          <w:r>
            <w:fldChar w:fldCharType="begin"/>
          </w:r>
          <w:r>
            <w:instrText xml:space="preserve"> PAGEREF _Toc192675867 \h </w:instrText>
          </w:r>
          <w:r>
            <w:fldChar w:fldCharType="separate"/>
          </w:r>
          <w:r>
            <w:t>10</w:t>
          </w:r>
          <w:r>
            <w:fldChar w:fldCharType="end"/>
          </w:r>
          <w:r>
            <w:fldChar w:fldCharType="end"/>
          </w:r>
        </w:p>
        <w:p w14:paraId="50E28AB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"_Toc192675868" </w:instrText>
          </w:r>
          <w:r>
            <w:fldChar w:fldCharType="separate"/>
          </w:r>
          <w:r>
            <w:rPr>
              <w:rStyle w:val="77"/>
              <w:rFonts w:eastAsia="黑体"/>
              <w:b/>
            </w:rPr>
            <w:t>2.2.3</w:t>
          </w:r>
          <w:r>
            <w:rPr>
              <w:rFonts w:asciiTheme="minorHAnsi" w:hAnsiTheme="minorHAnsi" w:eastAsiaTheme="minorEastAsia" w:cstheme="minorBidi"/>
              <w:bCs w:val="0"/>
              <w:sz w:val="21"/>
              <w:szCs w:val="22"/>
            </w:rPr>
            <w:tab/>
          </w:r>
          <w:r>
            <w:rPr>
              <w:rStyle w:val="77"/>
              <w:rFonts w:eastAsia="黑体"/>
              <w:b/>
            </w:rPr>
            <w:t>园区的基础设施现状</w:t>
          </w:r>
          <w:r>
            <w:tab/>
          </w:r>
          <w:r>
            <w:fldChar w:fldCharType="begin"/>
          </w:r>
          <w:r>
            <w:instrText xml:space="preserve"> PAGEREF _Toc192675868 \h </w:instrText>
          </w:r>
          <w:r>
            <w:fldChar w:fldCharType="separate"/>
          </w:r>
          <w:r>
            <w:t>11</w:t>
          </w:r>
          <w:r>
            <w:fldChar w:fldCharType="end"/>
          </w:r>
          <w:r>
            <w:fldChar w:fldCharType="end"/>
          </w:r>
        </w:p>
        <w:p w14:paraId="101D61D8">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"_Toc192675869" </w:instrText>
          </w:r>
          <w:r>
            <w:fldChar w:fldCharType="separate"/>
          </w:r>
          <w:r>
            <w:rPr>
              <w:rStyle w:val="77"/>
              <w:rFonts w:eastAsia="黑体"/>
              <w:b/>
            </w:rPr>
            <w:t>2.3</w:t>
          </w:r>
          <w:r>
            <w:rPr>
              <w:rFonts w:asciiTheme="minorHAnsi" w:hAnsiTheme="minorHAnsi" w:eastAsiaTheme="minorEastAsia" w:cstheme="minorBidi"/>
              <w:bCs w:val="0"/>
              <w:sz w:val="21"/>
              <w:szCs w:val="22"/>
            </w:rPr>
            <w:tab/>
          </w:r>
          <w:r>
            <w:rPr>
              <w:rStyle w:val="77"/>
              <w:rFonts w:eastAsia="黑体"/>
              <w:b/>
            </w:rPr>
            <w:t>园区发展存在的主要问题</w:t>
          </w:r>
          <w:r>
            <w:tab/>
          </w:r>
          <w:r>
            <w:fldChar w:fldCharType="begin"/>
          </w:r>
          <w:r>
            <w:instrText xml:space="preserve"> PAGEREF _Toc192675869 \h </w:instrText>
          </w:r>
          <w:r>
            <w:fldChar w:fldCharType="separate"/>
          </w:r>
          <w:r>
            <w:t>14</w:t>
          </w:r>
          <w:r>
            <w:fldChar w:fldCharType="end"/>
          </w:r>
          <w:r>
            <w:fldChar w:fldCharType="end"/>
          </w:r>
        </w:p>
        <w:p w14:paraId="00438C47">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"_Toc192675870" </w:instrText>
          </w:r>
          <w:r>
            <w:fldChar w:fldCharType="separate"/>
          </w:r>
          <w:r>
            <w:rPr>
              <w:rStyle w:val="77"/>
              <w:rFonts w:eastAsia="黑体"/>
            </w:rPr>
            <w:t>3 园区产业发展分析</w:t>
          </w:r>
          <w:r>
            <w:tab/>
          </w:r>
          <w:r>
            <w:fldChar w:fldCharType="begin"/>
          </w:r>
          <w:r>
            <w:instrText xml:space="preserve"> PAGEREF _Toc192675870 \h </w:instrText>
          </w:r>
          <w:r>
            <w:fldChar w:fldCharType="separate"/>
          </w:r>
          <w:r>
            <w:t>15</w:t>
          </w:r>
          <w:r>
            <w:fldChar w:fldCharType="end"/>
          </w:r>
          <w:r>
            <w:fldChar w:fldCharType="end"/>
          </w:r>
        </w:p>
        <w:p w14:paraId="638BCBBF">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"_Toc192675872" </w:instrText>
          </w:r>
          <w:r>
            <w:fldChar w:fldCharType="separate"/>
          </w:r>
          <w:r>
            <w:rPr>
              <w:rStyle w:val="77"/>
              <w:rFonts w:eastAsia="黑体"/>
              <w:b/>
            </w:rPr>
            <w:t>3.1</w:t>
          </w:r>
          <w:r>
            <w:rPr>
              <w:rFonts w:asciiTheme="minorHAnsi" w:hAnsiTheme="minorHAnsi" w:eastAsiaTheme="minorEastAsia" w:cstheme="minorBidi"/>
              <w:bCs w:val="0"/>
              <w:sz w:val="21"/>
              <w:szCs w:val="22"/>
            </w:rPr>
            <w:tab/>
          </w:r>
          <w:r>
            <w:rPr>
              <w:rStyle w:val="77"/>
              <w:rFonts w:eastAsia="黑体"/>
              <w:b/>
            </w:rPr>
            <w:t>优势分析（S）</w:t>
          </w:r>
          <w:r>
            <w:tab/>
          </w:r>
          <w:r>
            <w:fldChar w:fldCharType="begin"/>
          </w:r>
          <w:r>
            <w:instrText xml:space="preserve"> PAGEREF _Toc192675872 \h </w:instrText>
          </w:r>
          <w:r>
            <w:fldChar w:fldCharType="separate"/>
          </w:r>
          <w:r>
            <w:t>15</w:t>
          </w:r>
          <w:r>
            <w:fldChar w:fldCharType="end"/>
          </w:r>
          <w:r>
            <w:fldChar w:fldCharType="end"/>
          </w:r>
        </w:p>
        <w:p w14:paraId="3C4B664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"_Toc192675873" </w:instrText>
          </w:r>
          <w:r>
            <w:fldChar w:fldCharType="separate"/>
          </w:r>
          <w:r>
            <w:rPr>
              <w:rStyle w:val="77"/>
              <w:rFonts w:eastAsia="黑体"/>
              <w:b/>
            </w:rPr>
            <w:t>3.1.1</w:t>
          </w:r>
          <w:r>
            <w:rPr>
              <w:rFonts w:asciiTheme="minorHAnsi" w:hAnsiTheme="minorHAnsi" w:eastAsiaTheme="minorEastAsia" w:cstheme="minorBidi"/>
              <w:bCs w:val="0"/>
              <w:sz w:val="21"/>
              <w:szCs w:val="22"/>
            </w:rPr>
            <w:tab/>
          </w:r>
          <w:r>
            <w:rPr>
              <w:rStyle w:val="77"/>
              <w:rFonts w:eastAsia="黑体"/>
              <w:b/>
            </w:rPr>
            <w:t>区位交通优势</w:t>
          </w:r>
          <w:r>
            <w:tab/>
          </w:r>
          <w:r>
            <w:fldChar w:fldCharType="begin"/>
          </w:r>
          <w:r>
            <w:instrText xml:space="preserve"> PAGEREF _Toc192675873 \h </w:instrText>
          </w:r>
          <w:r>
            <w:fldChar w:fldCharType="separate"/>
          </w:r>
          <w:r>
            <w:t>15</w:t>
          </w:r>
          <w:r>
            <w:fldChar w:fldCharType="end"/>
          </w:r>
          <w:r>
            <w:fldChar w:fldCharType="end"/>
          </w:r>
        </w:p>
        <w:p w14:paraId="5591B0F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"_Toc192675874" </w:instrText>
          </w:r>
          <w:r>
            <w:fldChar w:fldCharType="separate"/>
          </w:r>
          <w:r>
            <w:rPr>
              <w:rStyle w:val="77"/>
              <w:rFonts w:eastAsia="黑体"/>
              <w:b/>
            </w:rPr>
            <w:t>3.1.2</w:t>
          </w:r>
          <w:r>
            <w:rPr>
              <w:rFonts w:asciiTheme="minorHAnsi" w:hAnsiTheme="minorHAnsi" w:eastAsiaTheme="minorEastAsia" w:cstheme="minorBidi"/>
              <w:bCs w:val="0"/>
              <w:sz w:val="21"/>
              <w:szCs w:val="22"/>
            </w:rPr>
            <w:tab/>
          </w:r>
          <w:r>
            <w:rPr>
              <w:rStyle w:val="77"/>
              <w:rFonts w:eastAsia="黑体"/>
              <w:b/>
            </w:rPr>
            <w:t>资源能源优势</w:t>
          </w:r>
          <w:r>
            <w:tab/>
          </w:r>
          <w:r>
            <w:fldChar w:fldCharType="begin"/>
          </w:r>
          <w:r>
            <w:instrText xml:space="preserve"> PAGEREF _Toc192675874 \h </w:instrText>
          </w:r>
          <w:r>
            <w:fldChar w:fldCharType="separate"/>
          </w:r>
          <w:r>
            <w:t>15</w:t>
          </w:r>
          <w:r>
            <w:fldChar w:fldCharType="end"/>
          </w:r>
          <w:r>
            <w:fldChar w:fldCharType="end"/>
          </w:r>
        </w:p>
        <w:p w14:paraId="169B2BEA">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"_Toc192675875" </w:instrText>
          </w:r>
          <w:r>
            <w:fldChar w:fldCharType="separate"/>
          </w:r>
          <w:r>
            <w:rPr>
              <w:rStyle w:val="77"/>
              <w:rFonts w:eastAsia="黑体"/>
              <w:b/>
            </w:rPr>
            <w:t>3.1.3</w:t>
          </w:r>
          <w:r>
            <w:rPr>
              <w:rFonts w:asciiTheme="minorHAnsi" w:hAnsiTheme="minorHAnsi" w:eastAsiaTheme="minorEastAsia" w:cstheme="minorBidi"/>
              <w:bCs w:val="0"/>
              <w:sz w:val="21"/>
              <w:szCs w:val="22"/>
            </w:rPr>
            <w:tab/>
          </w:r>
          <w:r>
            <w:rPr>
              <w:rStyle w:val="77"/>
              <w:rFonts w:eastAsia="黑体"/>
              <w:b/>
            </w:rPr>
            <w:t>产业发展优势</w:t>
          </w:r>
          <w:r>
            <w:tab/>
          </w:r>
          <w:r>
            <w:fldChar w:fldCharType="begin"/>
          </w:r>
          <w:r>
            <w:instrText xml:space="preserve"> PAGEREF _Toc192675875 \h </w:instrText>
          </w:r>
          <w:r>
            <w:fldChar w:fldCharType="separate"/>
          </w:r>
          <w:r>
            <w:t>16</w:t>
          </w:r>
          <w:r>
            <w:fldChar w:fldCharType="end"/>
          </w:r>
          <w:r>
            <w:fldChar w:fldCharType="end"/>
          </w:r>
        </w:p>
        <w:p w14:paraId="3C9E6F99">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"_Toc192675876" </w:instrText>
          </w:r>
          <w:r>
            <w:fldChar w:fldCharType="separate"/>
          </w:r>
          <w:r>
            <w:rPr>
              <w:rStyle w:val="77"/>
              <w:rFonts w:eastAsia="黑体"/>
              <w:b/>
            </w:rPr>
            <w:t>3.1.4</w:t>
          </w:r>
          <w:r>
            <w:rPr>
              <w:rFonts w:asciiTheme="minorHAnsi" w:hAnsiTheme="minorHAnsi" w:eastAsiaTheme="minorEastAsia" w:cstheme="minorBidi"/>
              <w:bCs w:val="0"/>
              <w:sz w:val="21"/>
              <w:szCs w:val="22"/>
            </w:rPr>
            <w:tab/>
          </w:r>
          <w:r>
            <w:rPr>
              <w:rStyle w:val="77"/>
              <w:rFonts w:eastAsia="黑体"/>
              <w:b/>
            </w:rPr>
            <w:t>充足的产业工人优势</w:t>
          </w:r>
          <w:r>
            <w:tab/>
          </w:r>
          <w:r>
            <w:fldChar w:fldCharType="begin"/>
          </w:r>
          <w:r>
            <w:instrText xml:space="preserve"> PAGEREF _Toc192675876 \h </w:instrText>
          </w:r>
          <w:r>
            <w:fldChar w:fldCharType="separate"/>
          </w:r>
          <w:r>
            <w:t>16</w:t>
          </w:r>
          <w:r>
            <w:fldChar w:fldCharType="end"/>
          </w:r>
          <w:r>
            <w:fldChar w:fldCharType="end"/>
          </w:r>
        </w:p>
        <w:p w14:paraId="12BA4B32">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"_Toc192675877" </w:instrText>
          </w:r>
          <w:r>
            <w:fldChar w:fldCharType="separate"/>
          </w:r>
          <w:r>
            <w:rPr>
              <w:rStyle w:val="77"/>
              <w:rFonts w:eastAsia="黑体"/>
              <w:b/>
            </w:rPr>
            <w:t>3.1.5</w:t>
          </w:r>
          <w:r>
            <w:rPr>
              <w:rFonts w:asciiTheme="minorHAnsi" w:hAnsiTheme="minorHAnsi" w:eastAsiaTheme="minorEastAsia" w:cstheme="minorBidi"/>
              <w:bCs w:val="0"/>
              <w:sz w:val="21"/>
              <w:szCs w:val="22"/>
            </w:rPr>
            <w:tab/>
          </w:r>
          <w:r>
            <w:rPr>
              <w:rStyle w:val="77"/>
              <w:rFonts w:eastAsia="黑体"/>
              <w:b/>
            </w:rPr>
            <w:t>投资环境优势</w:t>
          </w:r>
          <w:r>
            <w:tab/>
          </w:r>
          <w:r>
            <w:fldChar w:fldCharType="begin"/>
          </w:r>
          <w:r>
            <w:instrText xml:space="preserve"> PAGEREF _Toc192675877 \h </w:instrText>
          </w:r>
          <w:r>
            <w:fldChar w:fldCharType="separate"/>
          </w:r>
          <w:r>
            <w:t>16</w:t>
          </w:r>
          <w:r>
            <w:fldChar w:fldCharType="end"/>
          </w:r>
          <w:r>
            <w:fldChar w:fldCharType="end"/>
          </w:r>
        </w:p>
        <w:p w14:paraId="38961B0D">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"_Toc192675878" </w:instrText>
          </w:r>
          <w:r>
            <w:fldChar w:fldCharType="separate"/>
          </w:r>
          <w:r>
            <w:rPr>
              <w:rStyle w:val="77"/>
              <w:rFonts w:eastAsia="黑体"/>
              <w:b/>
            </w:rPr>
            <w:t>3.2</w:t>
          </w:r>
          <w:r>
            <w:rPr>
              <w:rFonts w:asciiTheme="minorHAnsi" w:hAnsiTheme="minorHAnsi" w:eastAsiaTheme="minorEastAsia" w:cstheme="minorBidi"/>
              <w:bCs w:val="0"/>
              <w:sz w:val="21"/>
              <w:szCs w:val="22"/>
            </w:rPr>
            <w:tab/>
          </w:r>
          <w:r>
            <w:rPr>
              <w:rStyle w:val="77"/>
              <w:rFonts w:eastAsia="黑体"/>
              <w:b/>
            </w:rPr>
            <w:t>劣势分析（W）</w:t>
          </w:r>
          <w:r>
            <w:tab/>
          </w:r>
          <w:r>
            <w:fldChar w:fldCharType="begin"/>
          </w:r>
          <w:r>
            <w:instrText xml:space="preserve"> PAGEREF _Toc192675878 \h </w:instrText>
          </w:r>
          <w:r>
            <w:fldChar w:fldCharType="separate"/>
          </w:r>
          <w:r>
            <w:t>17</w:t>
          </w:r>
          <w:r>
            <w:fldChar w:fldCharType="end"/>
          </w:r>
          <w:r>
            <w:fldChar w:fldCharType="end"/>
          </w:r>
        </w:p>
        <w:p w14:paraId="1CB8660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"_Toc192675879" </w:instrText>
          </w:r>
          <w:r>
            <w:fldChar w:fldCharType="separate"/>
          </w:r>
          <w:r>
            <w:rPr>
              <w:rStyle w:val="77"/>
              <w:rFonts w:eastAsia="黑体"/>
              <w:b/>
            </w:rPr>
            <w:t>3.2.1</w:t>
          </w:r>
          <w:r>
            <w:rPr>
              <w:rFonts w:asciiTheme="minorHAnsi" w:hAnsiTheme="minorHAnsi" w:eastAsiaTheme="minorEastAsia" w:cstheme="minorBidi"/>
              <w:bCs w:val="0"/>
              <w:sz w:val="21"/>
              <w:szCs w:val="22"/>
            </w:rPr>
            <w:tab/>
          </w:r>
          <w:r>
            <w:rPr>
              <w:rStyle w:val="77"/>
              <w:rFonts w:eastAsia="黑体"/>
              <w:b/>
            </w:rPr>
            <w:t>水资源不足</w:t>
          </w:r>
          <w:r>
            <w:tab/>
          </w:r>
          <w:r>
            <w:fldChar w:fldCharType="begin"/>
          </w:r>
          <w:r>
            <w:instrText xml:space="preserve"> PAGEREF _Toc192675879 \h </w:instrText>
          </w:r>
          <w:r>
            <w:fldChar w:fldCharType="separate"/>
          </w:r>
          <w:r>
            <w:t>17</w:t>
          </w:r>
          <w:r>
            <w:fldChar w:fldCharType="end"/>
          </w:r>
          <w:r>
            <w:fldChar w:fldCharType="end"/>
          </w:r>
        </w:p>
        <w:p w14:paraId="60FEC3AA">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"_Toc192675880" </w:instrText>
          </w:r>
          <w:r>
            <w:fldChar w:fldCharType="separate"/>
          </w:r>
          <w:r>
            <w:rPr>
              <w:rStyle w:val="77"/>
              <w:rFonts w:eastAsia="黑体"/>
              <w:b/>
            </w:rPr>
            <w:t>3.2.2</w:t>
          </w:r>
          <w:r>
            <w:rPr>
              <w:rFonts w:asciiTheme="minorHAnsi" w:hAnsiTheme="minorHAnsi" w:eastAsiaTheme="minorEastAsia" w:cstheme="minorBidi"/>
              <w:bCs w:val="0"/>
              <w:sz w:val="21"/>
              <w:szCs w:val="22"/>
            </w:rPr>
            <w:tab/>
          </w:r>
          <w:r>
            <w:rPr>
              <w:rStyle w:val="77"/>
              <w:rFonts w:eastAsia="黑体"/>
              <w:b/>
            </w:rPr>
            <w:t>碳排放制约</w:t>
          </w:r>
          <w:r>
            <w:tab/>
          </w:r>
          <w:r>
            <w:fldChar w:fldCharType="begin"/>
          </w:r>
          <w:r>
            <w:instrText xml:space="preserve"> PAGEREF _Toc192675880 \h </w:instrText>
          </w:r>
          <w:r>
            <w:fldChar w:fldCharType="separate"/>
          </w:r>
          <w:r>
            <w:t>17</w:t>
          </w:r>
          <w:r>
            <w:fldChar w:fldCharType="end"/>
          </w:r>
          <w:r>
            <w:fldChar w:fldCharType="end"/>
          </w:r>
        </w:p>
        <w:p w14:paraId="767F021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"_Toc192675881" </w:instrText>
          </w:r>
          <w:r>
            <w:fldChar w:fldCharType="separate"/>
          </w:r>
          <w:r>
            <w:rPr>
              <w:rStyle w:val="77"/>
              <w:rFonts w:eastAsia="黑体"/>
              <w:b/>
            </w:rPr>
            <w:t>3.2.3</w:t>
          </w:r>
          <w:r>
            <w:rPr>
              <w:rFonts w:asciiTheme="minorHAnsi" w:hAnsiTheme="minorHAnsi" w:eastAsiaTheme="minorEastAsia" w:cstheme="minorBidi"/>
              <w:bCs w:val="0"/>
              <w:sz w:val="21"/>
              <w:szCs w:val="22"/>
            </w:rPr>
            <w:tab/>
          </w:r>
          <w:r>
            <w:rPr>
              <w:rStyle w:val="77"/>
              <w:rFonts w:eastAsia="黑体"/>
              <w:b/>
            </w:rPr>
            <w:t>市场因素的制约</w:t>
          </w:r>
          <w:r>
            <w:tab/>
          </w:r>
          <w:r>
            <w:fldChar w:fldCharType="begin"/>
          </w:r>
          <w:r>
            <w:instrText xml:space="preserve"> PAGEREF _Toc192675881 \h </w:instrText>
          </w:r>
          <w:r>
            <w:fldChar w:fldCharType="separate"/>
          </w:r>
          <w:r>
            <w:t>17</w:t>
          </w:r>
          <w:r>
            <w:fldChar w:fldCharType="end"/>
          </w:r>
          <w:r>
            <w:fldChar w:fldCharType="end"/>
          </w:r>
        </w:p>
        <w:p w14:paraId="48525118">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"_Toc192675882" </w:instrText>
          </w:r>
          <w:r>
            <w:fldChar w:fldCharType="separate"/>
          </w:r>
          <w:r>
            <w:rPr>
              <w:rStyle w:val="77"/>
              <w:rFonts w:eastAsia="黑体"/>
              <w:b/>
            </w:rPr>
            <w:t>3.2.4</w:t>
          </w:r>
          <w:r>
            <w:rPr>
              <w:rFonts w:asciiTheme="minorHAnsi" w:hAnsiTheme="minorHAnsi" w:eastAsiaTheme="minorEastAsia" w:cstheme="minorBidi"/>
              <w:bCs w:val="0"/>
              <w:sz w:val="21"/>
              <w:szCs w:val="22"/>
            </w:rPr>
            <w:tab/>
          </w:r>
          <w:r>
            <w:rPr>
              <w:rStyle w:val="77"/>
              <w:rFonts w:eastAsia="黑体"/>
              <w:b/>
            </w:rPr>
            <w:t>招商引资难度增加</w:t>
          </w:r>
          <w:r>
            <w:tab/>
          </w:r>
          <w:r>
            <w:fldChar w:fldCharType="begin"/>
          </w:r>
          <w:r>
            <w:instrText xml:space="preserve"> PAGEREF _Toc192675882 \h </w:instrText>
          </w:r>
          <w:r>
            <w:fldChar w:fldCharType="separate"/>
          </w:r>
          <w:r>
            <w:t>17</w:t>
          </w:r>
          <w:r>
            <w:fldChar w:fldCharType="end"/>
          </w:r>
          <w:r>
            <w:fldChar w:fldCharType="end"/>
          </w:r>
        </w:p>
        <w:p w14:paraId="1B8C93A3">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"_Toc192675883" </w:instrText>
          </w:r>
          <w:r>
            <w:fldChar w:fldCharType="separate"/>
          </w:r>
          <w:r>
            <w:rPr>
              <w:rStyle w:val="77"/>
              <w:rFonts w:eastAsia="黑体"/>
              <w:b/>
            </w:rPr>
            <w:t>3.3</w:t>
          </w:r>
          <w:r>
            <w:rPr>
              <w:rFonts w:asciiTheme="minorHAnsi" w:hAnsiTheme="minorHAnsi" w:eastAsiaTheme="minorEastAsia" w:cstheme="minorBidi"/>
              <w:bCs w:val="0"/>
              <w:sz w:val="21"/>
              <w:szCs w:val="22"/>
            </w:rPr>
            <w:tab/>
          </w:r>
          <w:r>
            <w:rPr>
              <w:rStyle w:val="77"/>
              <w:rFonts w:eastAsia="黑体"/>
              <w:b/>
            </w:rPr>
            <w:t>机遇分析（O）</w:t>
          </w:r>
          <w:r>
            <w:tab/>
          </w:r>
          <w:r>
            <w:fldChar w:fldCharType="begin"/>
          </w:r>
          <w:r>
            <w:instrText xml:space="preserve"> PAGEREF _Toc192675883 \h </w:instrText>
          </w:r>
          <w:r>
            <w:fldChar w:fldCharType="separate"/>
          </w:r>
          <w:r>
            <w:t>18</w:t>
          </w:r>
          <w:r>
            <w:fldChar w:fldCharType="end"/>
          </w:r>
          <w:r>
            <w:fldChar w:fldCharType="end"/>
          </w:r>
        </w:p>
        <w:p w14:paraId="48C02F67">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"_Toc192675884" </w:instrText>
          </w:r>
          <w:r>
            <w:fldChar w:fldCharType="separate"/>
          </w:r>
          <w:r>
            <w:rPr>
              <w:rStyle w:val="77"/>
              <w:rFonts w:eastAsia="黑体"/>
              <w:b/>
            </w:rPr>
            <w:t>3.3.1</w:t>
          </w:r>
          <w:r>
            <w:rPr>
              <w:rFonts w:asciiTheme="minorHAnsi" w:hAnsiTheme="minorHAnsi" w:eastAsiaTheme="minorEastAsia" w:cstheme="minorBidi"/>
              <w:bCs w:val="0"/>
              <w:sz w:val="21"/>
              <w:szCs w:val="22"/>
            </w:rPr>
            <w:tab/>
          </w:r>
          <w:r>
            <w:rPr>
              <w:rStyle w:val="77"/>
              <w:rFonts w:eastAsia="黑体"/>
              <w:b/>
            </w:rPr>
            <w:t>新一轮科技革命和产业变革方兴未艾</w:t>
          </w:r>
          <w:r>
            <w:tab/>
          </w:r>
          <w:r>
            <w:fldChar w:fldCharType="begin"/>
          </w:r>
          <w:r>
            <w:instrText xml:space="preserve"> PAGEREF _Toc192675884 \h </w:instrText>
          </w:r>
          <w:r>
            <w:fldChar w:fldCharType="separate"/>
          </w:r>
          <w:r>
            <w:t>18</w:t>
          </w:r>
          <w:r>
            <w:fldChar w:fldCharType="end"/>
          </w:r>
          <w:r>
            <w:fldChar w:fldCharType="end"/>
          </w:r>
        </w:p>
        <w:p w14:paraId="39C98012">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"_Toc192675885" </w:instrText>
          </w:r>
          <w:r>
            <w:fldChar w:fldCharType="separate"/>
          </w:r>
          <w:r>
            <w:rPr>
              <w:rStyle w:val="77"/>
              <w:rFonts w:eastAsia="黑体"/>
              <w:b/>
            </w:rPr>
            <w:t>3.3.2</w:t>
          </w:r>
          <w:r>
            <w:rPr>
              <w:rFonts w:asciiTheme="minorHAnsi" w:hAnsiTheme="minorHAnsi" w:eastAsiaTheme="minorEastAsia" w:cstheme="minorBidi"/>
              <w:bCs w:val="0"/>
              <w:sz w:val="21"/>
              <w:szCs w:val="22"/>
            </w:rPr>
            <w:tab/>
          </w:r>
          <w:r>
            <w:rPr>
              <w:rStyle w:val="77"/>
              <w:rFonts w:eastAsia="黑体"/>
              <w:b/>
            </w:rPr>
            <w:t>“双循环”战略加速形成工业开放新发展格局</w:t>
          </w:r>
          <w:r>
            <w:tab/>
          </w:r>
          <w:r>
            <w:fldChar w:fldCharType="begin"/>
          </w:r>
          <w:r>
            <w:instrText xml:space="preserve"> PAGEREF _Toc192675885 \h </w:instrText>
          </w:r>
          <w:r>
            <w:fldChar w:fldCharType="separate"/>
          </w:r>
          <w:r>
            <w:t>18</w:t>
          </w:r>
          <w:r>
            <w:fldChar w:fldCharType="end"/>
          </w:r>
          <w:r>
            <w:fldChar w:fldCharType="end"/>
          </w:r>
        </w:p>
        <w:p w14:paraId="16CFB941">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"_Toc192675886" </w:instrText>
          </w:r>
          <w:r>
            <w:fldChar w:fldCharType="separate"/>
          </w:r>
          <w:r>
            <w:rPr>
              <w:rStyle w:val="77"/>
              <w:rFonts w:eastAsia="黑体"/>
              <w:b/>
            </w:rPr>
            <w:t>3.3.3</w:t>
          </w:r>
          <w:r>
            <w:rPr>
              <w:rFonts w:asciiTheme="minorHAnsi" w:hAnsiTheme="minorHAnsi" w:eastAsiaTheme="minorEastAsia" w:cstheme="minorBidi"/>
              <w:bCs w:val="0"/>
              <w:sz w:val="21"/>
              <w:szCs w:val="22"/>
            </w:rPr>
            <w:tab/>
          </w:r>
          <w:r>
            <w:rPr>
              <w:rStyle w:val="77"/>
              <w:rFonts w:eastAsia="黑体"/>
              <w:b/>
            </w:rPr>
            <w:t>战略性新型产业发展带来的机遇</w:t>
          </w:r>
          <w:r>
            <w:tab/>
          </w:r>
          <w:r>
            <w:fldChar w:fldCharType="begin"/>
          </w:r>
          <w:r>
            <w:instrText xml:space="preserve"> PAGEREF _Toc192675886 \h </w:instrText>
          </w:r>
          <w:r>
            <w:fldChar w:fldCharType="separate"/>
          </w:r>
          <w:r>
            <w:t>19</w:t>
          </w:r>
          <w:r>
            <w:fldChar w:fldCharType="end"/>
          </w:r>
          <w:r>
            <w:fldChar w:fldCharType="end"/>
          </w:r>
        </w:p>
        <w:p w14:paraId="067C2898">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"_Toc192675887" </w:instrText>
          </w:r>
          <w:r>
            <w:fldChar w:fldCharType="separate"/>
          </w:r>
          <w:r>
            <w:rPr>
              <w:rStyle w:val="77"/>
              <w:rFonts w:eastAsia="黑体"/>
              <w:b/>
            </w:rPr>
            <w:t>3.3.4</w:t>
          </w:r>
          <w:r>
            <w:rPr>
              <w:rFonts w:asciiTheme="minorHAnsi" w:hAnsiTheme="minorHAnsi" w:eastAsiaTheme="minorEastAsia" w:cstheme="minorBidi"/>
              <w:bCs w:val="0"/>
              <w:sz w:val="21"/>
              <w:szCs w:val="22"/>
            </w:rPr>
            <w:tab/>
          </w:r>
          <w:r>
            <w:rPr>
              <w:rStyle w:val="77"/>
              <w:rFonts w:eastAsia="黑体"/>
              <w:b/>
            </w:rPr>
            <w:t>中西部地区承接产业转移的战略机遇</w:t>
          </w:r>
          <w:r>
            <w:tab/>
          </w:r>
          <w:r>
            <w:fldChar w:fldCharType="begin"/>
          </w:r>
          <w:r>
            <w:instrText xml:space="preserve"> PAGEREF _Toc192675887 \h </w:instrText>
          </w:r>
          <w:r>
            <w:fldChar w:fldCharType="separate"/>
          </w:r>
          <w:r>
            <w:t>19</w:t>
          </w:r>
          <w:r>
            <w:fldChar w:fldCharType="end"/>
          </w:r>
          <w:r>
            <w:fldChar w:fldCharType="end"/>
          </w:r>
        </w:p>
        <w:p w14:paraId="7FFA3A4B">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"_Toc192675888" </w:instrText>
          </w:r>
          <w:r>
            <w:fldChar w:fldCharType="separate"/>
          </w:r>
          <w:r>
            <w:rPr>
              <w:rStyle w:val="77"/>
              <w:rFonts w:eastAsia="黑体"/>
              <w:b/>
            </w:rPr>
            <w:t>3.3.5</w:t>
          </w:r>
          <w:r>
            <w:rPr>
              <w:rFonts w:asciiTheme="minorHAnsi" w:hAnsiTheme="minorHAnsi" w:eastAsiaTheme="minorEastAsia" w:cstheme="minorBidi"/>
              <w:bCs w:val="0"/>
              <w:sz w:val="21"/>
              <w:szCs w:val="22"/>
            </w:rPr>
            <w:tab/>
          </w:r>
          <w:r>
            <w:rPr>
              <w:rStyle w:val="77"/>
              <w:rFonts w:eastAsia="黑体"/>
              <w:b/>
            </w:rPr>
            <w:t>以呼包鄂为核心沿黄河沿交通干线经济带建设的战略机遇</w:t>
          </w:r>
          <w:r>
            <w:tab/>
          </w:r>
          <w:r>
            <w:fldChar w:fldCharType="begin"/>
          </w:r>
          <w:r>
            <w:instrText xml:space="preserve"> PAGEREF _Toc192675888 \h </w:instrText>
          </w:r>
          <w:r>
            <w:fldChar w:fldCharType="separate"/>
          </w:r>
          <w:r>
            <w:t>20</w:t>
          </w:r>
          <w:r>
            <w:fldChar w:fldCharType="end"/>
          </w:r>
          <w:r>
            <w:fldChar w:fldCharType="end"/>
          </w:r>
        </w:p>
        <w:p w14:paraId="48E24F04">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"_Toc192675889" </w:instrText>
          </w:r>
          <w:r>
            <w:fldChar w:fldCharType="separate"/>
          </w:r>
          <w:r>
            <w:rPr>
              <w:rStyle w:val="77"/>
              <w:rFonts w:eastAsia="黑体"/>
              <w:b/>
            </w:rPr>
            <w:t>3.3.6</w:t>
          </w:r>
          <w:r>
            <w:rPr>
              <w:rFonts w:asciiTheme="minorHAnsi" w:hAnsiTheme="minorHAnsi" w:eastAsiaTheme="minorEastAsia" w:cstheme="minorBidi"/>
              <w:bCs w:val="0"/>
              <w:sz w:val="21"/>
              <w:szCs w:val="22"/>
            </w:rPr>
            <w:tab/>
          </w:r>
          <w:r>
            <w:rPr>
              <w:rStyle w:val="77"/>
              <w:rFonts w:eastAsia="黑体"/>
              <w:b/>
            </w:rPr>
            <w:t>黄河流域生态保护和高质量发展带来的机遇</w:t>
          </w:r>
          <w:r>
            <w:tab/>
          </w:r>
          <w:r>
            <w:fldChar w:fldCharType="begin"/>
          </w:r>
          <w:r>
            <w:instrText xml:space="preserve"> PAGEREF _Toc192675889 \h </w:instrText>
          </w:r>
          <w:r>
            <w:fldChar w:fldCharType="separate"/>
          </w:r>
          <w:r>
            <w:t>20</w:t>
          </w:r>
          <w:r>
            <w:fldChar w:fldCharType="end"/>
          </w:r>
          <w:r>
            <w:fldChar w:fldCharType="end"/>
          </w:r>
        </w:p>
        <w:p w14:paraId="2FCC5411">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"_Toc192675890" </w:instrText>
          </w:r>
          <w:r>
            <w:fldChar w:fldCharType="separate"/>
          </w:r>
          <w:r>
            <w:rPr>
              <w:rStyle w:val="77"/>
              <w:rFonts w:eastAsia="黑体"/>
              <w:b/>
            </w:rPr>
            <w:t>3.3.7</w:t>
          </w:r>
          <w:r>
            <w:rPr>
              <w:rFonts w:asciiTheme="minorHAnsi" w:hAnsiTheme="minorHAnsi" w:eastAsiaTheme="minorEastAsia" w:cstheme="minorBidi"/>
              <w:bCs w:val="0"/>
              <w:sz w:val="21"/>
              <w:szCs w:val="22"/>
            </w:rPr>
            <w:tab/>
          </w:r>
          <w:r>
            <w:rPr>
              <w:rStyle w:val="77"/>
              <w:rFonts w:eastAsia="黑体"/>
              <w:b/>
            </w:rPr>
            <w:t>自治区政府促进经济发展的机遇</w:t>
          </w:r>
          <w:r>
            <w:tab/>
          </w:r>
          <w:r>
            <w:fldChar w:fldCharType="begin"/>
          </w:r>
          <w:r>
            <w:instrText xml:space="preserve"> PAGEREF _Toc192675890 \h </w:instrText>
          </w:r>
          <w:r>
            <w:fldChar w:fldCharType="separate"/>
          </w:r>
          <w:r>
            <w:t>22</w:t>
          </w:r>
          <w:r>
            <w:fldChar w:fldCharType="end"/>
          </w:r>
          <w:r>
            <w:fldChar w:fldCharType="end"/>
          </w:r>
        </w:p>
        <w:p w14:paraId="06186A8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"_Toc192675891" </w:instrText>
          </w:r>
          <w:r>
            <w:fldChar w:fldCharType="separate"/>
          </w:r>
          <w:r>
            <w:rPr>
              <w:rStyle w:val="77"/>
              <w:rFonts w:eastAsia="黑体"/>
              <w:b/>
            </w:rPr>
            <w:t>3.3.8</w:t>
          </w:r>
          <w:r>
            <w:rPr>
              <w:rFonts w:asciiTheme="minorHAnsi" w:hAnsiTheme="minorHAnsi" w:eastAsiaTheme="minorEastAsia" w:cstheme="minorBidi"/>
              <w:bCs w:val="0"/>
              <w:sz w:val="21"/>
              <w:szCs w:val="22"/>
            </w:rPr>
            <w:tab/>
          </w:r>
          <w:r>
            <w:rPr>
              <w:rStyle w:val="77"/>
              <w:rFonts w:eastAsia="黑体"/>
              <w:b/>
            </w:rPr>
            <w:t>包头市政府促进经济发展的机遇</w:t>
          </w:r>
          <w:r>
            <w:tab/>
          </w:r>
          <w:r>
            <w:fldChar w:fldCharType="begin"/>
          </w:r>
          <w:r>
            <w:instrText xml:space="preserve"> PAGEREF _Toc192675891 \h </w:instrText>
          </w:r>
          <w:r>
            <w:fldChar w:fldCharType="separate"/>
          </w:r>
          <w:r>
            <w:t>22</w:t>
          </w:r>
          <w:r>
            <w:fldChar w:fldCharType="end"/>
          </w:r>
          <w:r>
            <w:fldChar w:fldCharType="end"/>
          </w:r>
        </w:p>
        <w:p w14:paraId="004703CE">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"_Toc192675892" </w:instrText>
          </w:r>
          <w:r>
            <w:fldChar w:fldCharType="separate"/>
          </w:r>
          <w:r>
            <w:rPr>
              <w:rStyle w:val="77"/>
              <w:rFonts w:eastAsia="黑体"/>
              <w:b/>
            </w:rPr>
            <w:t>3.4</w:t>
          </w:r>
          <w:r>
            <w:rPr>
              <w:rFonts w:asciiTheme="minorHAnsi" w:hAnsiTheme="minorHAnsi" w:eastAsiaTheme="minorEastAsia" w:cstheme="minorBidi"/>
              <w:bCs w:val="0"/>
              <w:sz w:val="21"/>
              <w:szCs w:val="22"/>
            </w:rPr>
            <w:tab/>
          </w:r>
          <w:r>
            <w:rPr>
              <w:rStyle w:val="77"/>
              <w:rFonts w:eastAsia="黑体"/>
              <w:b/>
            </w:rPr>
            <w:t>挑战分析（T）</w:t>
          </w:r>
          <w:r>
            <w:tab/>
          </w:r>
          <w:r>
            <w:fldChar w:fldCharType="begin"/>
          </w:r>
          <w:r>
            <w:instrText xml:space="preserve"> PAGEREF _Toc192675892 \h </w:instrText>
          </w:r>
          <w:r>
            <w:fldChar w:fldCharType="separate"/>
          </w:r>
          <w:r>
            <w:t>26</w:t>
          </w:r>
          <w:r>
            <w:fldChar w:fldCharType="end"/>
          </w:r>
          <w:r>
            <w:fldChar w:fldCharType="end"/>
          </w:r>
        </w:p>
        <w:p w14:paraId="00D4D721">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"_Toc192675893" </w:instrText>
          </w:r>
          <w:r>
            <w:fldChar w:fldCharType="separate"/>
          </w:r>
          <w:r>
            <w:rPr>
              <w:rStyle w:val="77"/>
              <w:rFonts w:eastAsia="黑体"/>
              <w:b/>
            </w:rPr>
            <w:t>3.4.1</w:t>
          </w:r>
          <w:r>
            <w:rPr>
              <w:rFonts w:asciiTheme="minorHAnsi" w:hAnsiTheme="minorHAnsi" w:eastAsiaTheme="minorEastAsia" w:cstheme="minorBidi"/>
              <w:bCs w:val="0"/>
              <w:sz w:val="21"/>
              <w:szCs w:val="22"/>
            </w:rPr>
            <w:tab/>
          </w:r>
          <w:r>
            <w:rPr>
              <w:rStyle w:val="77"/>
              <w:rFonts w:eastAsia="黑体"/>
              <w:b/>
            </w:rPr>
            <w:t>经济下行压力加大</w:t>
          </w:r>
          <w:r>
            <w:tab/>
          </w:r>
          <w:r>
            <w:fldChar w:fldCharType="begin"/>
          </w:r>
          <w:r>
            <w:instrText xml:space="preserve"> PAGEREF _Toc192675893 \h </w:instrText>
          </w:r>
          <w:r>
            <w:fldChar w:fldCharType="separate"/>
          </w:r>
          <w:r>
            <w:t>26</w:t>
          </w:r>
          <w:r>
            <w:fldChar w:fldCharType="end"/>
          </w:r>
          <w:r>
            <w:fldChar w:fldCharType="end"/>
          </w:r>
        </w:p>
        <w:p w14:paraId="6B52ECA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"_Toc192675894" </w:instrText>
          </w:r>
          <w:r>
            <w:fldChar w:fldCharType="separate"/>
          </w:r>
          <w:r>
            <w:rPr>
              <w:rStyle w:val="77"/>
              <w:rFonts w:eastAsia="黑体"/>
              <w:b/>
            </w:rPr>
            <w:t>3.4.2</w:t>
          </w:r>
          <w:r>
            <w:rPr>
              <w:rFonts w:asciiTheme="minorHAnsi" w:hAnsiTheme="minorHAnsi" w:eastAsiaTheme="minorEastAsia" w:cstheme="minorBidi"/>
              <w:bCs w:val="0"/>
              <w:sz w:val="21"/>
              <w:szCs w:val="22"/>
            </w:rPr>
            <w:tab/>
          </w:r>
          <w:r>
            <w:rPr>
              <w:rStyle w:val="77"/>
              <w:rFonts w:eastAsia="黑体"/>
              <w:b/>
            </w:rPr>
            <w:t>资源要素竞争更加激烈</w:t>
          </w:r>
          <w:r>
            <w:tab/>
          </w:r>
          <w:r>
            <w:fldChar w:fldCharType="begin"/>
          </w:r>
          <w:r>
            <w:instrText xml:space="preserve"> PAGEREF _Toc192675894 \h </w:instrText>
          </w:r>
          <w:r>
            <w:fldChar w:fldCharType="separate"/>
          </w:r>
          <w:r>
            <w:t>26</w:t>
          </w:r>
          <w:r>
            <w:fldChar w:fldCharType="end"/>
          </w:r>
          <w:r>
            <w:fldChar w:fldCharType="end"/>
          </w:r>
        </w:p>
        <w:p w14:paraId="2AA11894">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"_Toc192675895" </w:instrText>
          </w:r>
          <w:r>
            <w:fldChar w:fldCharType="separate"/>
          </w:r>
          <w:r>
            <w:rPr>
              <w:rStyle w:val="77"/>
              <w:rFonts w:eastAsia="黑体"/>
              <w:b/>
            </w:rPr>
            <w:t>3.4.3</w:t>
          </w:r>
          <w:r>
            <w:rPr>
              <w:rFonts w:asciiTheme="minorHAnsi" w:hAnsiTheme="minorHAnsi" w:eastAsiaTheme="minorEastAsia" w:cstheme="minorBidi"/>
              <w:bCs w:val="0"/>
              <w:sz w:val="21"/>
              <w:szCs w:val="22"/>
            </w:rPr>
            <w:tab/>
          </w:r>
          <w:r>
            <w:rPr>
              <w:rStyle w:val="77"/>
              <w:rFonts w:eastAsia="黑体"/>
              <w:b/>
            </w:rPr>
            <w:t>壮链扩群压力加大</w:t>
          </w:r>
          <w:r>
            <w:tab/>
          </w:r>
          <w:r>
            <w:fldChar w:fldCharType="begin"/>
          </w:r>
          <w:r>
            <w:instrText xml:space="preserve"> PAGEREF _Toc192675895 \h </w:instrText>
          </w:r>
          <w:r>
            <w:fldChar w:fldCharType="separate"/>
          </w:r>
          <w:r>
            <w:t>27</w:t>
          </w:r>
          <w:r>
            <w:fldChar w:fldCharType="end"/>
          </w:r>
          <w:r>
            <w:fldChar w:fldCharType="end"/>
          </w:r>
        </w:p>
        <w:p w14:paraId="36D9F7C4">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"_Toc192675896" </w:instrText>
          </w:r>
          <w:r>
            <w:fldChar w:fldCharType="separate"/>
          </w:r>
          <w:r>
            <w:rPr>
              <w:rStyle w:val="77"/>
              <w:rFonts w:eastAsia="黑体"/>
              <w:b/>
            </w:rPr>
            <w:t>3.4.4</w:t>
          </w:r>
          <w:r>
            <w:rPr>
              <w:rFonts w:asciiTheme="minorHAnsi" w:hAnsiTheme="minorHAnsi" w:eastAsiaTheme="minorEastAsia" w:cstheme="minorBidi"/>
              <w:bCs w:val="0"/>
              <w:sz w:val="21"/>
              <w:szCs w:val="22"/>
            </w:rPr>
            <w:tab/>
          </w:r>
          <w:r>
            <w:rPr>
              <w:rStyle w:val="77"/>
              <w:rFonts w:eastAsia="黑体"/>
              <w:b/>
            </w:rPr>
            <w:t>新型科技人才面临较大缺口</w:t>
          </w:r>
          <w:r>
            <w:tab/>
          </w:r>
          <w:r>
            <w:fldChar w:fldCharType="begin"/>
          </w:r>
          <w:r>
            <w:instrText xml:space="preserve"> PAGEREF _Toc192675896 \h </w:instrText>
          </w:r>
          <w:r>
            <w:fldChar w:fldCharType="separate"/>
          </w:r>
          <w:r>
            <w:t>27</w:t>
          </w:r>
          <w:r>
            <w:fldChar w:fldCharType="end"/>
          </w:r>
          <w:r>
            <w:fldChar w:fldCharType="end"/>
          </w:r>
        </w:p>
        <w:p w14:paraId="1A42087C">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"_Toc192675897" </w:instrText>
          </w:r>
          <w:r>
            <w:fldChar w:fldCharType="separate"/>
          </w:r>
          <w:r>
            <w:rPr>
              <w:rStyle w:val="77"/>
              <w:rFonts w:eastAsia="黑体"/>
              <w:b/>
            </w:rPr>
            <w:t>3.4.5</w:t>
          </w:r>
          <w:r>
            <w:rPr>
              <w:rFonts w:asciiTheme="minorHAnsi" w:hAnsiTheme="minorHAnsi" w:eastAsiaTheme="minorEastAsia" w:cstheme="minorBidi"/>
              <w:bCs w:val="0"/>
              <w:sz w:val="21"/>
              <w:szCs w:val="22"/>
            </w:rPr>
            <w:tab/>
          </w:r>
          <w:r>
            <w:rPr>
              <w:rStyle w:val="77"/>
              <w:rFonts w:eastAsia="黑体"/>
              <w:b/>
            </w:rPr>
            <w:t>技术创新体制的健全与完善</w:t>
          </w:r>
          <w:r>
            <w:tab/>
          </w:r>
          <w:r>
            <w:fldChar w:fldCharType="begin"/>
          </w:r>
          <w:r>
            <w:instrText xml:space="preserve"> PAGEREF _Toc192675897 \h </w:instrText>
          </w:r>
          <w:r>
            <w:fldChar w:fldCharType="separate"/>
          </w:r>
          <w:r>
            <w:t>27</w:t>
          </w:r>
          <w:r>
            <w:fldChar w:fldCharType="end"/>
          </w:r>
          <w:r>
            <w:fldChar w:fldCharType="end"/>
          </w:r>
        </w:p>
        <w:p w14:paraId="33166662">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"_Toc192675898" </w:instrText>
          </w:r>
          <w:r>
            <w:fldChar w:fldCharType="separate"/>
          </w:r>
          <w:r>
            <w:rPr>
              <w:rStyle w:val="77"/>
              <w:rFonts w:eastAsia="黑体"/>
            </w:rPr>
            <w:t>4 总体发展思路及发展目标</w:t>
          </w:r>
          <w:r>
            <w:tab/>
          </w:r>
          <w:r>
            <w:fldChar w:fldCharType="begin"/>
          </w:r>
          <w:r>
            <w:instrText xml:space="preserve"> PAGEREF _Toc192675898 \h </w:instrText>
          </w:r>
          <w:r>
            <w:fldChar w:fldCharType="separate"/>
          </w:r>
          <w:r>
            <w:t>28</w:t>
          </w:r>
          <w:r>
            <w:fldChar w:fldCharType="end"/>
          </w:r>
          <w:r>
            <w:fldChar w:fldCharType="end"/>
          </w:r>
        </w:p>
        <w:p w14:paraId="2A6AD7D1">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"_Toc192675900" </w:instrText>
          </w:r>
          <w:r>
            <w:fldChar w:fldCharType="separate"/>
          </w:r>
          <w:r>
            <w:rPr>
              <w:rStyle w:val="77"/>
              <w:rFonts w:eastAsia="黑体"/>
              <w:b/>
            </w:rPr>
            <w:t>4.1</w:t>
          </w:r>
          <w:r>
            <w:rPr>
              <w:rFonts w:asciiTheme="minorHAnsi" w:hAnsiTheme="minorHAnsi" w:eastAsiaTheme="minorEastAsia" w:cstheme="minorBidi"/>
              <w:bCs w:val="0"/>
              <w:sz w:val="21"/>
              <w:szCs w:val="22"/>
            </w:rPr>
            <w:tab/>
          </w:r>
          <w:r>
            <w:rPr>
              <w:rStyle w:val="77"/>
              <w:rFonts w:eastAsia="黑体"/>
              <w:b/>
            </w:rPr>
            <w:t>指导思想</w:t>
          </w:r>
          <w:r>
            <w:tab/>
          </w:r>
          <w:r>
            <w:fldChar w:fldCharType="begin"/>
          </w:r>
          <w:r>
            <w:instrText xml:space="preserve"> PAGEREF _Toc192675900 \h </w:instrText>
          </w:r>
          <w:r>
            <w:fldChar w:fldCharType="separate"/>
          </w:r>
          <w:r>
            <w:t>28</w:t>
          </w:r>
          <w:r>
            <w:fldChar w:fldCharType="end"/>
          </w:r>
          <w:r>
            <w:fldChar w:fldCharType="end"/>
          </w:r>
        </w:p>
        <w:p w14:paraId="51AB84C9">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"_Toc192675901" </w:instrText>
          </w:r>
          <w:r>
            <w:fldChar w:fldCharType="separate"/>
          </w:r>
          <w:r>
            <w:rPr>
              <w:rStyle w:val="77"/>
              <w:rFonts w:eastAsia="黑体"/>
              <w:b/>
            </w:rPr>
            <w:t>4.2</w:t>
          </w:r>
          <w:r>
            <w:rPr>
              <w:rFonts w:asciiTheme="minorHAnsi" w:hAnsiTheme="minorHAnsi" w:eastAsiaTheme="minorEastAsia" w:cstheme="minorBidi"/>
              <w:bCs w:val="0"/>
              <w:sz w:val="21"/>
              <w:szCs w:val="22"/>
            </w:rPr>
            <w:tab/>
          </w:r>
          <w:r>
            <w:rPr>
              <w:rStyle w:val="77"/>
              <w:rFonts w:eastAsia="黑体"/>
              <w:b/>
            </w:rPr>
            <w:t>基本原则</w:t>
          </w:r>
          <w:r>
            <w:tab/>
          </w:r>
          <w:r>
            <w:fldChar w:fldCharType="begin"/>
          </w:r>
          <w:r>
            <w:instrText xml:space="preserve"> PAGEREF _Toc192675901 \h </w:instrText>
          </w:r>
          <w:r>
            <w:fldChar w:fldCharType="separate"/>
          </w:r>
          <w:r>
            <w:t>28</w:t>
          </w:r>
          <w:r>
            <w:fldChar w:fldCharType="end"/>
          </w:r>
          <w:r>
            <w:fldChar w:fldCharType="end"/>
          </w:r>
        </w:p>
        <w:p w14:paraId="7B5EFFD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"_Toc192675902" </w:instrText>
          </w:r>
          <w:r>
            <w:fldChar w:fldCharType="separate"/>
          </w:r>
          <w:r>
            <w:rPr>
              <w:rStyle w:val="77"/>
              <w:rFonts w:eastAsia="黑体"/>
              <w:b/>
            </w:rPr>
            <w:t>4.2.1</w:t>
          </w:r>
          <w:r>
            <w:rPr>
              <w:rFonts w:asciiTheme="minorHAnsi" w:hAnsiTheme="minorHAnsi" w:eastAsiaTheme="minorEastAsia" w:cstheme="minorBidi"/>
              <w:bCs w:val="0"/>
              <w:sz w:val="21"/>
              <w:szCs w:val="22"/>
            </w:rPr>
            <w:tab/>
          </w:r>
          <w:r>
            <w:rPr>
              <w:rStyle w:val="77"/>
              <w:rFonts w:eastAsia="黑体"/>
              <w:b/>
            </w:rPr>
            <w:t>整体协调、弹性开发</w:t>
          </w:r>
          <w:r>
            <w:tab/>
          </w:r>
          <w:r>
            <w:fldChar w:fldCharType="begin"/>
          </w:r>
          <w:r>
            <w:instrText xml:space="preserve"> PAGEREF _Toc192675902 \h </w:instrText>
          </w:r>
          <w:r>
            <w:fldChar w:fldCharType="separate"/>
          </w:r>
          <w:r>
            <w:t>28</w:t>
          </w:r>
          <w:r>
            <w:fldChar w:fldCharType="end"/>
          </w:r>
          <w:r>
            <w:fldChar w:fldCharType="end"/>
          </w:r>
        </w:p>
        <w:p w14:paraId="25217D8F">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"_Toc192675903" </w:instrText>
          </w:r>
          <w:r>
            <w:fldChar w:fldCharType="separate"/>
          </w:r>
          <w:r>
            <w:rPr>
              <w:rStyle w:val="77"/>
              <w:rFonts w:eastAsia="黑体"/>
              <w:b/>
            </w:rPr>
            <w:t>4.2.2</w:t>
          </w:r>
          <w:r>
            <w:rPr>
              <w:rFonts w:asciiTheme="minorHAnsi" w:hAnsiTheme="minorHAnsi" w:eastAsiaTheme="minorEastAsia" w:cstheme="minorBidi"/>
              <w:bCs w:val="0"/>
              <w:sz w:val="21"/>
              <w:szCs w:val="22"/>
            </w:rPr>
            <w:tab/>
          </w:r>
          <w:r>
            <w:rPr>
              <w:rStyle w:val="77"/>
              <w:rFonts w:eastAsia="黑体"/>
              <w:b/>
            </w:rPr>
            <w:t>统筹兼顾、区域发展</w:t>
          </w:r>
          <w:r>
            <w:tab/>
          </w:r>
          <w:r>
            <w:fldChar w:fldCharType="begin"/>
          </w:r>
          <w:r>
            <w:instrText xml:space="preserve"> PAGEREF _Toc192675903 \h </w:instrText>
          </w:r>
          <w:r>
            <w:fldChar w:fldCharType="separate"/>
          </w:r>
          <w:r>
            <w:t>29</w:t>
          </w:r>
          <w:r>
            <w:fldChar w:fldCharType="end"/>
          </w:r>
          <w:r>
            <w:fldChar w:fldCharType="end"/>
          </w:r>
        </w:p>
        <w:p w14:paraId="54F111B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"_Toc192675904" </w:instrText>
          </w:r>
          <w:r>
            <w:fldChar w:fldCharType="separate"/>
          </w:r>
          <w:r>
            <w:rPr>
              <w:rStyle w:val="77"/>
              <w:rFonts w:eastAsia="黑体"/>
              <w:b/>
            </w:rPr>
            <w:t>4.2.3</w:t>
          </w:r>
          <w:r>
            <w:rPr>
              <w:rFonts w:asciiTheme="minorHAnsi" w:hAnsiTheme="minorHAnsi" w:eastAsiaTheme="minorEastAsia" w:cstheme="minorBidi"/>
              <w:bCs w:val="0"/>
              <w:sz w:val="21"/>
              <w:szCs w:val="22"/>
            </w:rPr>
            <w:tab/>
          </w:r>
          <w:r>
            <w:rPr>
              <w:rStyle w:val="77"/>
              <w:rFonts w:eastAsia="黑体"/>
              <w:b/>
            </w:rPr>
            <w:t>注重生态、持续发展</w:t>
          </w:r>
          <w:r>
            <w:tab/>
          </w:r>
          <w:r>
            <w:fldChar w:fldCharType="begin"/>
          </w:r>
          <w:r>
            <w:instrText xml:space="preserve"> PAGEREF _Toc192675904 \h </w:instrText>
          </w:r>
          <w:r>
            <w:fldChar w:fldCharType="separate"/>
          </w:r>
          <w:r>
            <w:t>29</w:t>
          </w:r>
          <w:r>
            <w:fldChar w:fldCharType="end"/>
          </w:r>
          <w:r>
            <w:fldChar w:fldCharType="end"/>
          </w:r>
        </w:p>
        <w:p w14:paraId="6E955F97">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"_Toc192675905" </w:instrText>
          </w:r>
          <w:r>
            <w:fldChar w:fldCharType="separate"/>
          </w:r>
          <w:r>
            <w:rPr>
              <w:rStyle w:val="77"/>
              <w:rFonts w:eastAsia="黑体"/>
              <w:b/>
            </w:rPr>
            <w:t>4.2.4</w:t>
          </w:r>
          <w:r>
            <w:rPr>
              <w:rFonts w:asciiTheme="minorHAnsi" w:hAnsiTheme="minorHAnsi" w:eastAsiaTheme="minorEastAsia" w:cstheme="minorBidi"/>
              <w:bCs w:val="0"/>
              <w:sz w:val="21"/>
              <w:szCs w:val="22"/>
            </w:rPr>
            <w:tab/>
          </w:r>
          <w:r>
            <w:rPr>
              <w:rStyle w:val="77"/>
              <w:rFonts w:eastAsia="黑体"/>
              <w:b/>
            </w:rPr>
            <w:t>资源循环、延长产业链</w:t>
          </w:r>
          <w:r>
            <w:tab/>
          </w:r>
          <w:r>
            <w:fldChar w:fldCharType="begin"/>
          </w:r>
          <w:r>
            <w:instrText xml:space="preserve"> PAGEREF _Toc192675905 \h </w:instrText>
          </w:r>
          <w:r>
            <w:fldChar w:fldCharType="separate"/>
          </w:r>
          <w:r>
            <w:t>29</w:t>
          </w:r>
          <w:r>
            <w:fldChar w:fldCharType="end"/>
          </w:r>
          <w:r>
            <w:fldChar w:fldCharType="end"/>
          </w:r>
        </w:p>
        <w:p w14:paraId="2F3407B6">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"_Toc192675906" </w:instrText>
          </w:r>
          <w:r>
            <w:fldChar w:fldCharType="separate"/>
          </w:r>
          <w:r>
            <w:rPr>
              <w:rStyle w:val="77"/>
              <w:rFonts w:eastAsia="黑体"/>
              <w:b/>
            </w:rPr>
            <w:t>4.2.5</w:t>
          </w:r>
          <w:r>
            <w:rPr>
              <w:rFonts w:asciiTheme="minorHAnsi" w:hAnsiTheme="minorHAnsi" w:eastAsiaTheme="minorEastAsia" w:cstheme="minorBidi"/>
              <w:bCs w:val="0"/>
              <w:sz w:val="21"/>
              <w:szCs w:val="22"/>
            </w:rPr>
            <w:tab/>
          </w:r>
          <w:r>
            <w:rPr>
              <w:rStyle w:val="77"/>
              <w:rFonts w:eastAsia="黑体"/>
              <w:b/>
            </w:rPr>
            <w:t>科技先导、培育优势</w:t>
          </w:r>
          <w:r>
            <w:tab/>
          </w:r>
          <w:r>
            <w:fldChar w:fldCharType="begin"/>
          </w:r>
          <w:r>
            <w:instrText xml:space="preserve"> PAGEREF _Toc192675906 \h </w:instrText>
          </w:r>
          <w:r>
            <w:fldChar w:fldCharType="separate"/>
          </w:r>
          <w:r>
            <w:t>29</w:t>
          </w:r>
          <w:r>
            <w:fldChar w:fldCharType="end"/>
          </w:r>
          <w:r>
            <w:fldChar w:fldCharType="end"/>
          </w:r>
        </w:p>
        <w:p w14:paraId="5170D9E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"_Toc192675907" </w:instrText>
          </w:r>
          <w:r>
            <w:fldChar w:fldCharType="separate"/>
          </w:r>
          <w:r>
            <w:rPr>
              <w:rStyle w:val="77"/>
              <w:rFonts w:eastAsia="黑体"/>
              <w:b/>
            </w:rPr>
            <w:t>4.2.6</w:t>
          </w:r>
          <w:r>
            <w:rPr>
              <w:rFonts w:asciiTheme="minorHAnsi" w:hAnsiTheme="minorHAnsi" w:eastAsiaTheme="minorEastAsia" w:cstheme="minorBidi"/>
              <w:bCs w:val="0"/>
              <w:sz w:val="21"/>
              <w:szCs w:val="22"/>
            </w:rPr>
            <w:tab/>
          </w:r>
          <w:r>
            <w:rPr>
              <w:rStyle w:val="77"/>
              <w:rFonts w:eastAsia="黑体"/>
              <w:b/>
            </w:rPr>
            <w:t>顺应国家政策、集约发展</w:t>
          </w:r>
          <w:r>
            <w:tab/>
          </w:r>
          <w:r>
            <w:fldChar w:fldCharType="begin"/>
          </w:r>
          <w:r>
            <w:instrText xml:space="preserve"> PAGEREF _Toc192675907 \h </w:instrText>
          </w:r>
          <w:r>
            <w:fldChar w:fldCharType="separate"/>
          </w:r>
          <w:r>
            <w:t>29</w:t>
          </w:r>
          <w:r>
            <w:fldChar w:fldCharType="end"/>
          </w:r>
          <w:r>
            <w:fldChar w:fldCharType="end"/>
          </w:r>
        </w:p>
        <w:p w14:paraId="56926ED8">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"_Toc192675908" </w:instrText>
          </w:r>
          <w:r>
            <w:fldChar w:fldCharType="separate"/>
          </w:r>
          <w:r>
            <w:rPr>
              <w:rStyle w:val="77"/>
              <w:rFonts w:eastAsia="黑体"/>
              <w:b/>
            </w:rPr>
            <w:t>4.3</w:t>
          </w:r>
          <w:r>
            <w:rPr>
              <w:rFonts w:asciiTheme="minorHAnsi" w:hAnsiTheme="minorHAnsi" w:eastAsiaTheme="minorEastAsia" w:cstheme="minorBidi"/>
              <w:bCs w:val="0"/>
              <w:sz w:val="21"/>
              <w:szCs w:val="22"/>
            </w:rPr>
            <w:tab/>
          </w:r>
          <w:r>
            <w:rPr>
              <w:rStyle w:val="77"/>
              <w:rFonts w:eastAsia="黑体"/>
              <w:b/>
            </w:rPr>
            <w:t>发展思路</w:t>
          </w:r>
          <w:r>
            <w:tab/>
          </w:r>
          <w:r>
            <w:fldChar w:fldCharType="begin"/>
          </w:r>
          <w:r>
            <w:instrText xml:space="preserve"> PAGEREF _Toc192675908 \h </w:instrText>
          </w:r>
          <w:r>
            <w:fldChar w:fldCharType="separate"/>
          </w:r>
          <w:r>
            <w:t>30</w:t>
          </w:r>
          <w:r>
            <w:fldChar w:fldCharType="end"/>
          </w:r>
          <w:r>
            <w:fldChar w:fldCharType="end"/>
          </w:r>
        </w:p>
        <w:p w14:paraId="3326E67C">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"_Toc192675909" </w:instrText>
          </w:r>
          <w:r>
            <w:fldChar w:fldCharType="separate"/>
          </w:r>
          <w:r>
            <w:rPr>
              <w:rStyle w:val="77"/>
              <w:rFonts w:eastAsia="黑体"/>
              <w:b/>
            </w:rPr>
            <w:t>4.4</w:t>
          </w:r>
          <w:r>
            <w:rPr>
              <w:rFonts w:asciiTheme="minorHAnsi" w:hAnsiTheme="minorHAnsi" w:eastAsiaTheme="minorEastAsia" w:cstheme="minorBidi"/>
              <w:bCs w:val="0"/>
              <w:sz w:val="21"/>
              <w:szCs w:val="22"/>
            </w:rPr>
            <w:tab/>
          </w:r>
          <w:r>
            <w:rPr>
              <w:rStyle w:val="77"/>
              <w:rFonts w:eastAsia="黑体"/>
              <w:b/>
            </w:rPr>
            <w:t>发展定位</w:t>
          </w:r>
          <w:r>
            <w:tab/>
          </w:r>
          <w:r>
            <w:fldChar w:fldCharType="begin"/>
          </w:r>
          <w:r>
            <w:instrText xml:space="preserve"> PAGEREF _Toc192675909 \h </w:instrText>
          </w:r>
          <w:r>
            <w:fldChar w:fldCharType="separate"/>
          </w:r>
          <w:r>
            <w:t>31</w:t>
          </w:r>
          <w:r>
            <w:fldChar w:fldCharType="end"/>
          </w:r>
          <w:r>
            <w:fldChar w:fldCharType="end"/>
          </w:r>
        </w:p>
        <w:p w14:paraId="0BE704A0">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"_Toc192675910" </w:instrText>
          </w:r>
          <w:r>
            <w:fldChar w:fldCharType="separate"/>
          </w:r>
          <w:r>
            <w:rPr>
              <w:rStyle w:val="77"/>
              <w:rFonts w:eastAsia="黑体"/>
              <w:b/>
            </w:rPr>
            <w:t>4.5</w:t>
          </w:r>
          <w:r>
            <w:rPr>
              <w:rFonts w:asciiTheme="minorHAnsi" w:hAnsiTheme="minorHAnsi" w:eastAsiaTheme="minorEastAsia" w:cstheme="minorBidi"/>
              <w:bCs w:val="0"/>
              <w:sz w:val="21"/>
              <w:szCs w:val="22"/>
            </w:rPr>
            <w:tab/>
          </w:r>
          <w:r>
            <w:rPr>
              <w:rStyle w:val="77"/>
              <w:rFonts w:eastAsia="黑体"/>
              <w:b/>
            </w:rPr>
            <w:t>发展目标</w:t>
          </w:r>
          <w:r>
            <w:tab/>
          </w:r>
          <w:r>
            <w:fldChar w:fldCharType="begin"/>
          </w:r>
          <w:r>
            <w:instrText xml:space="preserve"> PAGEREF _Toc192675910 \h </w:instrText>
          </w:r>
          <w:r>
            <w:fldChar w:fldCharType="separate"/>
          </w:r>
          <w:r>
            <w:t>31</w:t>
          </w:r>
          <w:r>
            <w:fldChar w:fldCharType="end"/>
          </w:r>
          <w:r>
            <w:fldChar w:fldCharType="end"/>
          </w:r>
        </w:p>
        <w:p w14:paraId="14544F47">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"_Toc192675911" </w:instrText>
          </w:r>
          <w:r>
            <w:fldChar w:fldCharType="separate"/>
          </w:r>
          <w:r>
            <w:rPr>
              <w:rStyle w:val="77"/>
              <w:rFonts w:eastAsia="黑体"/>
            </w:rPr>
            <w:t>5 产业空间布局规划</w:t>
          </w:r>
          <w:r>
            <w:tab/>
          </w:r>
          <w:r>
            <w:fldChar w:fldCharType="begin"/>
          </w:r>
          <w:r>
            <w:instrText xml:space="preserve"> PAGEREF _Toc192675911 \h </w:instrText>
          </w:r>
          <w:r>
            <w:fldChar w:fldCharType="separate"/>
          </w:r>
          <w:r>
            <w:t>34</w:t>
          </w:r>
          <w:r>
            <w:fldChar w:fldCharType="end"/>
          </w:r>
          <w:r>
            <w:fldChar w:fldCharType="end"/>
          </w:r>
        </w:p>
        <w:p w14:paraId="23907B90">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"_Toc192675913" </w:instrText>
          </w:r>
          <w:r>
            <w:fldChar w:fldCharType="separate"/>
          </w:r>
          <w:r>
            <w:rPr>
              <w:rStyle w:val="77"/>
              <w:rFonts w:eastAsia="黑体"/>
              <w:b/>
            </w:rPr>
            <w:t>5.1</w:t>
          </w:r>
          <w:r>
            <w:rPr>
              <w:rFonts w:asciiTheme="minorHAnsi" w:hAnsiTheme="minorHAnsi" w:eastAsiaTheme="minorEastAsia" w:cstheme="minorBidi"/>
              <w:bCs w:val="0"/>
              <w:sz w:val="21"/>
              <w:szCs w:val="22"/>
            </w:rPr>
            <w:tab/>
          </w:r>
          <w:r>
            <w:rPr>
              <w:rStyle w:val="77"/>
              <w:rFonts w:eastAsia="黑体"/>
              <w:b/>
            </w:rPr>
            <w:t>产业布局原则及要求</w:t>
          </w:r>
          <w:r>
            <w:tab/>
          </w:r>
          <w:r>
            <w:fldChar w:fldCharType="begin"/>
          </w:r>
          <w:r>
            <w:instrText xml:space="preserve"> PAGEREF _Toc192675913 \h </w:instrText>
          </w:r>
          <w:r>
            <w:fldChar w:fldCharType="separate"/>
          </w:r>
          <w:r>
            <w:t>34</w:t>
          </w:r>
          <w:r>
            <w:fldChar w:fldCharType="end"/>
          </w:r>
          <w:r>
            <w:fldChar w:fldCharType="end"/>
          </w:r>
        </w:p>
        <w:p w14:paraId="3FC23E97">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"_Toc192675914" </w:instrText>
          </w:r>
          <w:r>
            <w:fldChar w:fldCharType="separate"/>
          </w:r>
          <w:r>
            <w:rPr>
              <w:rStyle w:val="77"/>
              <w:rFonts w:eastAsia="黑体"/>
              <w:b/>
            </w:rPr>
            <w:t>5.2</w:t>
          </w:r>
          <w:r>
            <w:rPr>
              <w:rFonts w:asciiTheme="minorHAnsi" w:hAnsiTheme="minorHAnsi" w:eastAsiaTheme="minorEastAsia" w:cstheme="minorBidi"/>
              <w:bCs w:val="0"/>
              <w:sz w:val="21"/>
              <w:szCs w:val="22"/>
            </w:rPr>
            <w:tab/>
          </w:r>
          <w:r>
            <w:rPr>
              <w:rStyle w:val="77"/>
              <w:rFonts w:eastAsia="黑体"/>
              <w:b/>
              <w:kern w:val="0"/>
            </w:rPr>
            <w:t>产业发展空间布局</w:t>
          </w:r>
          <w:r>
            <w:tab/>
          </w:r>
          <w:r>
            <w:fldChar w:fldCharType="begin"/>
          </w:r>
          <w:r>
            <w:instrText xml:space="preserve"> PAGEREF _Toc192675914 \h </w:instrText>
          </w:r>
          <w:r>
            <w:fldChar w:fldCharType="separate"/>
          </w:r>
          <w:r>
            <w:t>34</w:t>
          </w:r>
          <w:r>
            <w:fldChar w:fldCharType="end"/>
          </w:r>
          <w:r>
            <w:fldChar w:fldCharType="end"/>
          </w:r>
        </w:p>
        <w:p w14:paraId="7AD67C4D">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"_Toc192675915" </w:instrText>
          </w:r>
          <w:r>
            <w:fldChar w:fldCharType="separate"/>
          </w:r>
          <w:r>
            <w:rPr>
              <w:rStyle w:val="77"/>
              <w:rFonts w:eastAsia="黑体"/>
            </w:rPr>
            <w:t>6 产业发展规划</w:t>
          </w:r>
          <w:r>
            <w:tab/>
          </w:r>
          <w:r>
            <w:fldChar w:fldCharType="begin"/>
          </w:r>
          <w:r>
            <w:instrText xml:space="preserve"> PAGEREF _Toc192675915 \h </w:instrText>
          </w:r>
          <w:r>
            <w:fldChar w:fldCharType="separate"/>
          </w:r>
          <w:r>
            <w:t>39</w:t>
          </w:r>
          <w:r>
            <w:fldChar w:fldCharType="end"/>
          </w:r>
          <w:r>
            <w:fldChar w:fldCharType="end"/>
          </w:r>
        </w:p>
        <w:p w14:paraId="59447527">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"_Toc192675917" </w:instrText>
          </w:r>
          <w:r>
            <w:fldChar w:fldCharType="separate"/>
          </w:r>
          <w:r>
            <w:rPr>
              <w:rStyle w:val="77"/>
              <w:rFonts w:eastAsia="黑体"/>
              <w:b/>
            </w:rPr>
            <w:t>6.1</w:t>
          </w:r>
          <w:r>
            <w:rPr>
              <w:rFonts w:asciiTheme="minorHAnsi" w:hAnsiTheme="minorHAnsi" w:eastAsiaTheme="minorEastAsia" w:cstheme="minorBidi"/>
              <w:bCs w:val="0"/>
              <w:sz w:val="21"/>
              <w:szCs w:val="22"/>
            </w:rPr>
            <w:tab/>
          </w:r>
          <w:r>
            <w:rPr>
              <w:rStyle w:val="77"/>
              <w:rFonts w:eastAsia="黑体"/>
              <w:b/>
            </w:rPr>
            <w:t>装备制造产业</w:t>
          </w:r>
          <w:r>
            <w:tab/>
          </w:r>
          <w:r>
            <w:fldChar w:fldCharType="begin"/>
          </w:r>
          <w:r>
            <w:instrText xml:space="preserve"> PAGEREF _Toc192675917 \h </w:instrText>
          </w:r>
          <w:r>
            <w:fldChar w:fldCharType="separate"/>
          </w:r>
          <w:r>
            <w:t>39</w:t>
          </w:r>
          <w:r>
            <w:fldChar w:fldCharType="end"/>
          </w:r>
          <w:r>
            <w:fldChar w:fldCharType="end"/>
          </w:r>
        </w:p>
        <w:p w14:paraId="3574DA4F">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"_Toc192675918" </w:instrText>
          </w:r>
          <w:r>
            <w:fldChar w:fldCharType="separate"/>
          </w:r>
          <w:r>
            <w:rPr>
              <w:rStyle w:val="77"/>
              <w:rFonts w:eastAsia="黑体"/>
              <w:b/>
            </w:rPr>
            <w:t>6.1.1</w:t>
          </w:r>
          <w:r>
            <w:rPr>
              <w:rFonts w:asciiTheme="minorHAnsi" w:hAnsiTheme="minorHAnsi" w:eastAsiaTheme="minorEastAsia" w:cstheme="minorBidi"/>
              <w:bCs w:val="0"/>
              <w:sz w:val="21"/>
              <w:szCs w:val="22"/>
            </w:rPr>
            <w:tab/>
          </w:r>
          <w:r>
            <w:rPr>
              <w:rStyle w:val="77"/>
              <w:rFonts w:eastAsia="黑体"/>
              <w:b/>
            </w:rPr>
            <w:t>工程机械装备制造</w:t>
          </w:r>
          <w:r>
            <w:tab/>
          </w:r>
          <w:r>
            <w:fldChar w:fldCharType="begin"/>
          </w:r>
          <w:r>
            <w:instrText xml:space="preserve"> PAGEREF _Toc192675918 \h </w:instrText>
          </w:r>
          <w:r>
            <w:fldChar w:fldCharType="separate"/>
          </w:r>
          <w:r>
            <w:t>39</w:t>
          </w:r>
          <w:r>
            <w:fldChar w:fldCharType="end"/>
          </w:r>
          <w:r>
            <w:fldChar w:fldCharType="end"/>
          </w:r>
        </w:p>
        <w:p w14:paraId="3AAB2940">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"_Toc192675920" </w:instrText>
          </w:r>
          <w:r>
            <w:fldChar w:fldCharType="separate"/>
          </w:r>
          <w:r>
            <w:rPr>
              <w:rStyle w:val="77"/>
              <w:rFonts w:eastAsia="黑体"/>
              <w:b/>
            </w:rPr>
            <w:t>6.1.2</w:t>
          </w:r>
          <w:r>
            <w:rPr>
              <w:rFonts w:asciiTheme="minorHAnsi" w:hAnsiTheme="minorHAnsi" w:eastAsiaTheme="minorEastAsia" w:cstheme="minorBidi"/>
              <w:bCs w:val="0"/>
              <w:sz w:val="21"/>
              <w:szCs w:val="22"/>
            </w:rPr>
            <w:tab/>
          </w:r>
          <w:r>
            <w:rPr>
              <w:rStyle w:val="77"/>
              <w:rFonts w:eastAsia="黑体"/>
              <w:b/>
            </w:rPr>
            <w:t>应急装备制造</w:t>
          </w:r>
          <w:r>
            <w:tab/>
          </w:r>
          <w:r>
            <w:fldChar w:fldCharType="begin"/>
          </w:r>
          <w:r>
            <w:instrText xml:space="preserve"> PAGEREF _Toc192675920 \h </w:instrText>
          </w:r>
          <w:r>
            <w:fldChar w:fldCharType="separate"/>
          </w:r>
          <w:r>
            <w:t>42</w:t>
          </w:r>
          <w:r>
            <w:fldChar w:fldCharType="end"/>
          </w:r>
          <w:r>
            <w:fldChar w:fldCharType="end"/>
          </w:r>
        </w:p>
        <w:p w14:paraId="35E138EE">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"_Toc192675922" </w:instrText>
          </w:r>
          <w:r>
            <w:fldChar w:fldCharType="separate"/>
          </w:r>
          <w:r>
            <w:rPr>
              <w:rStyle w:val="77"/>
              <w:rFonts w:eastAsia="黑体"/>
              <w:b/>
            </w:rPr>
            <w:t>6.1.3</w:t>
          </w:r>
          <w:r>
            <w:rPr>
              <w:rFonts w:asciiTheme="minorHAnsi" w:hAnsiTheme="minorHAnsi" w:eastAsiaTheme="minorEastAsia" w:cstheme="minorBidi"/>
              <w:bCs w:val="0"/>
              <w:sz w:val="21"/>
              <w:szCs w:val="22"/>
            </w:rPr>
            <w:tab/>
          </w:r>
          <w:r>
            <w:rPr>
              <w:rStyle w:val="77"/>
              <w:rFonts w:eastAsia="黑体"/>
              <w:b/>
            </w:rPr>
            <w:t>节能环保设备制造</w:t>
          </w:r>
          <w:r>
            <w:tab/>
          </w:r>
          <w:r>
            <w:fldChar w:fldCharType="begin"/>
          </w:r>
          <w:r>
            <w:instrText xml:space="preserve"> PAGEREF _Toc192675922 \h </w:instrText>
          </w:r>
          <w:r>
            <w:fldChar w:fldCharType="separate"/>
          </w:r>
          <w:r>
            <w:t>46</w:t>
          </w:r>
          <w:r>
            <w:fldChar w:fldCharType="end"/>
          </w:r>
          <w:r>
            <w:fldChar w:fldCharType="end"/>
          </w:r>
        </w:p>
        <w:p w14:paraId="2AFD7745">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"_Toc192675923" </w:instrText>
          </w:r>
          <w:r>
            <w:fldChar w:fldCharType="separate"/>
          </w:r>
          <w:r>
            <w:rPr>
              <w:rStyle w:val="77"/>
              <w:rFonts w:eastAsia="黑体"/>
              <w:b/>
            </w:rPr>
            <w:t>6.1.4</w:t>
          </w:r>
          <w:r>
            <w:rPr>
              <w:rFonts w:asciiTheme="minorHAnsi" w:hAnsiTheme="minorHAnsi" w:eastAsiaTheme="minorEastAsia" w:cstheme="minorBidi"/>
              <w:bCs w:val="0"/>
              <w:sz w:val="21"/>
              <w:szCs w:val="22"/>
            </w:rPr>
            <w:tab/>
          </w:r>
          <w:r>
            <w:rPr>
              <w:rStyle w:val="77"/>
              <w:rFonts w:eastAsia="黑体"/>
              <w:b/>
            </w:rPr>
            <w:t>医疗器械装备制造</w:t>
          </w:r>
          <w:r>
            <w:tab/>
          </w:r>
          <w:r>
            <w:fldChar w:fldCharType="begin"/>
          </w:r>
          <w:r>
            <w:instrText xml:space="preserve"> PAGEREF _Toc192675923 \h </w:instrText>
          </w:r>
          <w:r>
            <w:fldChar w:fldCharType="separate"/>
          </w:r>
          <w:r>
            <w:t>48</w:t>
          </w:r>
          <w:r>
            <w:fldChar w:fldCharType="end"/>
          </w:r>
          <w:r>
            <w:fldChar w:fldCharType="end"/>
          </w:r>
        </w:p>
        <w:p w14:paraId="0754592A">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"_Toc192675924" </w:instrText>
          </w:r>
          <w:r>
            <w:fldChar w:fldCharType="separate"/>
          </w:r>
          <w:r>
            <w:rPr>
              <w:rStyle w:val="77"/>
              <w:rFonts w:eastAsia="黑体"/>
              <w:b/>
            </w:rPr>
            <w:t>6.1.5</w:t>
          </w:r>
          <w:r>
            <w:rPr>
              <w:rFonts w:asciiTheme="minorHAnsi" w:hAnsiTheme="minorHAnsi" w:eastAsiaTheme="minorEastAsia" w:cstheme="minorBidi"/>
              <w:bCs w:val="0"/>
              <w:sz w:val="21"/>
              <w:szCs w:val="22"/>
            </w:rPr>
            <w:tab/>
          </w:r>
          <w:r>
            <w:rPr>
              <w:rStyle w:val="77"/>
              <w:rFonts w:eastAsia="黑体"/>
              <w:b/>
            </w:rPr>
            <w:t>高端装备制造</w:t>
          </w:r>
          <w:r>
            <w:tab/>
          </w:r>
          <w:r>
            <w:fldChar w:fldCharType="begin"/>
          </w:r>
          <w:r>
            <w:instrText xml:space="preserve"> PAGEREF _Toc192675924 \h </w:instrText>
          </w:r>
          <w:r>
            <w:fldChar w:fldCharType="separate"/>
          </w:r>
          <w:r>
            <w:t>50</w:t>
          </w:r>
          <w:r>
            <w:fldChar w:fldCharType="end"/>
          </w:r>
          <w:r>
            <w:fldChar w:fldCharType="end"/>
          </w:r>
        </w:p>
        <w:p w14:paraId="588CE06F">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"_Toc192675932" </w:instrText>
          </w:r>
          <w:r>
            <w:fldChar w:fldCharType="separate"/>
          </w:r>
          <w:r>
            <w:rPr>
              <w:rStyle w:val="77"/>
              <w:rFonts w:eastAsia="黑体"/>
              <w:b/>
            </w:rPr>
            <w:t>6.2</w:t>
          </w:r>
          <w:r>
            <w:rPr>
              <w:rFonts w:asciiTheme="minorHAnsi" w:hAnsiTheme="minorHAnsi" w:eastAsiaTheme="minorEastAsia" w:cstheme="minorBidi"/>
              <w:bCs w:val="0"/>
              <w:sz w:val="21"/>
              <w:szCs w:val="22"/>
            </w:rPr>
            <w:tab/>
          </w:r>
          <w:r>
            <w:rPr>
              <w:rStyle w:val="77"/>
              <w:rFonts w:eastAsia="黑体"/>
              <w:b/>
            </w:rPr>
            <w:t>新材料产业</w:t>
          </w:r>
          <w:r>
            <w:tab/>
          </w:r>
          <w:r>
            <w:fldChar w:fldCharType="begin"/>
          </w:r>
          <w:r>
            <w:instrText xml:space="preserve"> PAGEREF _Toc192675932 \h </w:instrText>
          </w:r>
          <w:r>
            <w:fldChar w:fldCharType="separate"/>
          </w:r>
          <w:r>
            <w:t>52</w:t>
          </w:r>
          <w:r>
            <w:fldChar w:fldCharType="end"/>
          </w:r>
          <w:r>
            <w:fldChar w:fldCharType="end"/>
          </w:r>
        </w:p>
        <w:p w14:paraId="61905FF0">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"_Toc192675933" </w:instrText>
          </w:r>
          <w:r>
            <w:fldChar w:fldCharType="separate"/>
          </w:r>
          <w:r>
            <w:rPr>
              <w:rStyle w:val="77"/>
              <w:rFonts w:eastAsia="黑体"/>
              <w:b/>
            </w:rPr>
            <w:t>6.2.1</w:t>
          </w:r>
          <w:r>
            <w:rPr>
              <w:rFonts w:asciiTheme="minorHAnsi" w:hAnsiTheme="minorHAnsi" w:eastAsiaTheme="minorEastAsia" w:cstheme="minorBidi"/>
              <w:bCs w:val="0"/>
              <w:sz w:val="21"/>
              <w:szCs w:val="22"/>
            </w:rPr>
            <w:tab/>
          </w:r>
          <w:r>
            <w:rPr>
              <w:rStyle w:val="77"/>
              <w:rFonts w:eastAsia="黑体"/>
              <w:b/>
            </w:rPr>
            <w:t>发展趋势</w:t>
          </w:r>
          <w:r>
            <w:tab/>
          </w:r>
          <w:r>
            <w:fldChar w:fldCharType="begin"/>
          </w:r>
          <w:r>
            <w:instrText xml:space="preserve"> PAGEREF _Toc192675933 \h </w:instrText>
          </w:r>
          <w:r>
            <w:fldChar w:fldCharType="separate"/>
          </w:r>
          <w:r>
            <w:t>52</w:t>
          </w:r>
          <w:r>
            <w:fldChar w:fldCharType="end"/>
          </w:r>
          <w:r>
            <w:fldChar w:fldCharType="end"/>
          </w:r>
        </w:p>
        <w:p w14:paraId="7C21E1C1">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"_Toc192675934" </w:instrText>
          </w:r>
          <w:r>
            <w:fldChar w:fldCharType="separate"/>
          </w:r>
          <w:r>
            <w:rPr>
              <w:rStyle w:val="77"/>
              <w:rFonts w:eastAsia="黑体"/>
              <w:b/>
            </w:rPr>
            <w:t>6.2.2</w:t>
          </w:r>
          <w:r>
            <w:rPr>
              <w:rFonts w:asciiTheme="minorHAnsi" w:hAnsiTheme="minorHAnsi" w:eastAsiaTheme="minorEastAsia" w:cstheme="minorBidi"/>
              <w:bCs w:val="0"/>
              <w:sz w:val="21"/>
              <w:szCs w:val="22"/>
            </w:rPr>
            <w:tab/>
          </w:r>
          <w:r>
            <w:rPr>
              <w:rStyle w:val="77"/>
              <w:rFonts w:eastAsia="黑体"/>
              <w:b/>
            </w:rPr>
            <w:t>产业基础</w:t>
          </w:r>
          <w:r>
            <w:tab/>
          </w:r>
          <w:r>
            <w:fldChar w:fldCharType="begin"/>
          </w:r>
          <w:r>
            <w:instrText xml:space="preserve"> PAGEREF _Toc192675934 \h </w:instrText>
          </w:r>
          <w:r>
            <w:fldChar w:fldCharType="separate"/>
          </w:r>
          <w:r>
            <w:t>53</w:t>
          </w:r>
          <w:r>
            <w:fldChar w:fldCharType="end"/>
          </w:r>
          <w:r>
            <w:fldChar w:fldCharType="end"/>
          </w:r>
        </w:p>
        <w:p w14:paraId="136973B6">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"_Toc192675935" </w:instrText>
          </w:r>
          <w:r>
            <w:fldChar w:fldCharType="separate"/>
          </w:r>
          <w:r>
            <w:rPr>
              <w:rStyle w:val="77"/>
              <w:rFonts w:eastAsia="黑体"/>
              <w:b/>
            </w:rPr>
            <w:t>6.2.3</w:t>
          </w:r>
          <w:r>
            <w:rPr>
              <w:rFonts w:asciiTheme="minorHAnsi" w:hAnsiTheme="minorHAnsi" w:eastAsiaTheme="minorEastAsia" w:cstheme="minorBidi"/>
              <w:bCs w:val="0"/>
              <w:sz w:val="21"/>
              <w:szCs w:val="22"/>
            </w:rPr>
            <w:tab/>
          </w:r>
          <w:r>
            <w:rPr>
              <w:rStyle w:val="77"/>
              <w:rFonts w:eastAsia="黑体"/>
              <w:b/>
            </w:rPr>
            <w:t>发展思路</w:t>
          </w:r>
          <w:r>
            <w:tab/>
          </w:r>
          <w:r>
            <w:fldChar w:fldCharType="begin"/>
          </w:r>
          <w:r>
            <w:instrText xml:space="preserve"> PAGEREF _Toc192675935 \h </w:instrText>
          </w:r>
          <w:r>
            <w:fldChar w:fldCharType="separate"/>
          </w:r>
          <w:r>
            <w:t>53</w:t>
          </w:r>
          <w:r>
            <w:fldChar w:fldCharType="end"/>
          </w:r>
          <w:r>
            <w:fldChar w:fldCharType="end"/>
          </w:r>
        </w:p>
        <w:p w14:paraId="48D990BE">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"_Toc192675936" </w:instrText>
          </w:r>
          <w:r>
            <w:fldChar w:fldCharType="separate"/>
          </w:r>
          <w:r>
            <w:rPr>
              <w:rStyle w:val="77"/>
              <w:rFonts w:eastAsia="黑体"/>
              <w:b/>
            </w:rPr>
            <w:t>6.2.4</w:t>
          </w:r>
          <w:r>
            <w:rPr>
              <w:rFonts w:asciiTheme="minorHAnsi" w:hAnsiTheme="minorHAnsi" w:eastAsiaTheme="minorEastAsia" w:cstheme="minorBidi"/>
              <w:bCs w:val="0"/>
              <w:sz w:val="21"/>
              <w:szCs w:val="22"/>
            </w:rPr>
            <w:tab/>
          </w:r>
          <w:r>
            <w:rPr>
              <w:rStyle w:val="77"/>
              <w:rFonts w:eastAsia="黑体"/>
              <w:b/>
            </w:rPr>
            <w:t>发展重点</w:t>
          </w:r>
          <w:r>
            <w:tab/>
          </w:r>
          <w:r>
            <w:fldChar w:fldCharType="begin"/>
          </w:r>
          <w:r>
            <w:instrText xml:space="preserve"> PAGEREF _Toc192675936 \h </w:instrText>
          </w:r>
          <w:r>
            <w:fldChar w:fldCharType="separate"/>
          </w:r>
          <w:r>
            <w:t>53</w:t>
          </w:r>
          <w:r>
            <w:fldChar w:fldCharType="end"/>
          </w:r>
          <w:r>
            <w:fldChar w:fldCharType="end"/>
          </w:r>
        </w:p>
        <w:p w14:paraId="2E50D3EC">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"_Toc192675937" </w:instrText>
          </w:r>
          <w:r>
            <w:fldChar w:fldCharType="separate"/>
          </w:r>
          <w:r>
            <w:rPr>
              <w:rStyle w:val="77"/>
              <w:rFonts w:eastAsia="黑体"/>
              <w:b/>
            </w:rPr>
            <w:t>6.2.5</w:t>
          </w:r>
          <w:r>
            <w:rPr>
              <w:rFonts w:asciiTheme="minorHAnsi" w:hAnsiTheme="minorHAnsi" w:eastAsiaTheme="minorEastAsia" w:cstheme="minorBidi"/>
              <w:bCs w:val="0"/>
              <w:sz w:val="21"/>
              <w:szCs w:val="22"/>
            </w:rPr>
            <w:tab/>
          </w:r>
          <w:r>
            <w:rPr>
              <w:rStyle w:val="77"/>
              <w:rFonts w:eastAsia="黑体"/>
              <w:b/>
            </w:rPr>
            <w:t>重点项目</w:t>
          </w:r>
          <w:r>
            <w:tab/>
          </w:r>
          <w:r>
            <w:fldChar w:fldCharType="begin"/>
          </w:r>
          <w:r>
            <w:instrText xml:space="preserve"> PAGEREF _Toc192675937 \h </w:instrText>
          </w:r>
          <w:r>
            <w:fldChar w:fldCharType="separate"/>
          </w:r>
          <w:r>
            <w:t>56</w:t>
          </w:r>
          <w:r>
            <w:fldChar w:fldCharType="end"/>
          </w:r>
          <w:r>
            <w:fldChar w:fldCharType="end"/>
          </w:r>
        </w:p>
        <w:p w14:paraId="5BC74295">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"_Toc192675938" </w:instrText>
          </w:r>
          <w:r>
            <w:fldChar w:fldCharType="separate"/>
          </w:r>
          <w:r>
            <w:rPr>
              <w:rStyle w:val="77"/>
              <w:rFonts w:eastAsia="黑体"/>
              <w:b/>
            </w:rPr>
            <w:t>6.3</w:t>
          </w:r>
          <w:r>
            <w:rPr>
              <w:rFonts w:asciiTheme="minorHAnsi" w:hAnsiTheme="minorHAnsi" w:eastAsiaTheme="minorEastAsia" w:cstheme="minorBidi"/>
              <w:bCs w:val="0"/>
              <w:sz w:val="21"/>
              <w:szCs w:val="22"/>
            </w:rPr>
            <w:tab/>
          </w:r>
          <w:r>
            <w:rPr>
              <w:rStyle w:val="77"/>
              <w:rFonts w:eastAsia="黑体"/>
              <w:b/>
            </w:rPr>
            <w:t>新能源产业</w:t>
          </w:r>
          <w:r>
            <w:tab/>
          </w:r>
          <w:r>
            <w:fldChar w:fldCharType="begin"/>
          </w:r>
          <w:r>
            <w:instrText xml:space="preserve"> PAGEREF _Toc192675938 \h </w:instrText>
          </w:r>
          <w:r>
            <w:fldChar w:fldCharType="separate"/>
          </w:r>
          <w:r>
            <w:t>56</w:t>
          </w:r>
          <w:r>
            <w:fldChar w:fldCharType="end"/>
          </w:r>
          <w:r>
            <w:fldChar w:fldCharType="end"/>
          </w:r>
        </w:p>
        <w:p w14:paraId="262BD530">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"_Toc192675939" </w:instrText>
          </w:r>
          <w:r>
            <w:fldChar w:fldCharType="separate"/>
          </w:r>
          <w:r>
            <w:rPr>
              <w:rStyle w:val="77"/>
              <w:rFonts w:eastAsia="黑体"/>
              <w:b/>
            </w:rPr>
            <w:t>6.3.1</w:t>
          </w:r>
          <w:r>
            <w:rPr>
              <w:rFonts w:asciiTheme="minorHAnsi" w:hAnsiTheme="minorHAnsi" w:eastAsiaTheme="minorEastAsia" w:cstheme="minorBidi"/>
              <w:bCs w:val="0"/>
              <w:sz w:val="21"/>
              <w:szCs w:val="22"/>
            </w:rPr>
            <w:tab/>
          </w:r>
          <w:r>
            <w:rPr>
              <w:rStyle w:val="77"/>
              <w:rFonts w:eastAsia="黑体"/>
              <w:b/>
            </w:rPr>
            <w:t>发展趋势</w:t>
          </w:r>
          <w:r>
            <w:tab/>
          </w:r>
          <w:r>
            <w:fldChar w:fldCharType="begin"/>
          </w:r>
          <w:r>
            <w:instrText xml:space="preserve"> PAGEREF _Toc192675939 \h </w:instrText>
          </w:r>
          <w:r>
            <w:fldChar w:fldCharType="separate"/>
          </w:r>
          <w:r>
            <w:t>56</w:t>
          </w:r>
          <w:r>
            <w:fldChar w:fldCharType="end"/>
          </w:r>
          <w:r>
            <w:fldChar w:fldCharType="end"/>
          </w:r>
        </w:p>
        <w:p w14:paraId="0E4B9624">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"_Toc192675940" </w:instrText>
          </w:r>
          <w:r>
            <w:fldChar w:fldCharType="separate"/>
          </w:r>
          <w:r>
            <w:rPr>
              <w:rStyle w:val="77"/>
              <w:rFonts w:eastAsia="黑体"/>
              <w:b/>
            </w:rPr>
            <w:t>6.3.2</w:t>
          </w:r>
          <w:r>
            <w:rPr>
              <w:rFonts w:asciiTheme="minorHAnsi" w:hAnsiTheme="minorHAnsi" w:eastAsiaTheme="minorEastAsia" w:cstheme="minorBidi"/>
              <w:bCs w:val="0"/>
              <w:sz w:val="21"/>
              <w:szCs w:val="22"/>
            </w:rPr>
            <w:tab/>
          </w:r>
          <w:r>
            <w:rPr>
              <w:rStyle w:val="77"/>
              <w:rFonts w:eastAsia="黑体"/>
              <w:b/>
            </w:rPr>
            <w:t>发展思路</w:t>
          </w:r>
          <w:r>
            <w:tab/>
          </w:r>
          <w:r>
            <w:fldChar w:fldCharType="begin"/>
          </w:r>
          <w:r>
            <w:instrText xml:space="preserve"> PAGEREF _Toc192675940 \h </w:instrText>
          </w:r>
          <w:r>
            <w:fldChar w:fldCharType="separate"/>
          </w:r>
          <w:r>
            <w:t>57</w:t>
          </w:r>
          <w:r>
            <w:fldChar w:fldCharType="end"/>
          </w:r>
          <w:r>
            <w:fldChar w:fldCharType="end"/>
          </w:r>
        </w:p>
        <w:p w14:paraId="43A07AB4">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"_Toc192675941" </w:instrText>
          </w:r>
          <w:r>
            <w:fldChar w:fldCharType="separate"/>
          </w:r>
          <w:r>
            <w:rPr>
              <w:rStyle w:val="77"/>
              <w:rFonts w:eastAsia="黑体"/>
              <w:b/>
            </w:rPr>
            <w:t>6.3.3</w:t>
          </w:r>
          <w:r>
            <w:rPr>
              <w:rFonts w:asciiTheme="minorHAnsi" w:hAnsiTheme="minorHAnsi" w:eastAsiaTheme="minorEastAsia" w:cstheme="minorBidi"/>
              <w:bCs w:val="0"/>
              <w:sz w:val="21"/>
              <w:szCs w:val="22"/>
            </w:rPr>
            <w:tab/>
          </w:r>
          <w:r>
            <w:rPr>
              <w:rStyle w:val="77"/>
              <w:rFonts w:eastAsia="黑体"/>
              <w:b/>
            </w:rPr>
            <w:t>发展重点</w:t>
          </w:r>
          <w:r>
            <w:tab/>
          </w:r>
          <w:r>
            <w:fldChar w:fldCharType="begin"/>
          </w:r>
          <w:r>
            <w:instrText xml:space="preserve"> PAGEREF _Toc192675941 \h </w:instrText>
          </w:r>
          <w:r>
            <w:fldChar w:fldCharType="separate"/>
          </w:r>
          <w:r>
            <w:t>57</w:t>
          </w:r>
          <w:r>
            <w:fldChar w:fldCharType="end"/>
          </w:r>
          <w:r>
            <w:fldChar w:fldCharType="end"/>
          </w:r>
        </w:p>
        <w:p w14:paraId="6FC70320">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"_Toc192675942" </w:instrText>
          </w:r>
          <w:r>
            <w:fldChar w:fldCharType="separate"/>
          </w:r>
          <w:r>
            <w:rPr>
              <w:rStyle w:val="77"/>
              <w:rFonts w:eastAsia="黑体"/>
              <w:b/>
            </w:rPr>
            <w:t>6.3.4</w:t>
          </w:r>
          <w:r>
            <w:rPr>
              <w:rFonts w:asciiTheme="minorHAnsi" w:hAnsiTheme="minorHAnsi" w:eastAsiaTheme="minorEastAsia" w:cstheme="minorBidi"/>
              <w:bCs w:val="0"/>
              <w:sz w:val="21"/>
              <w:szCs w:val="22"/>
            </w:rPr>
            <w:tab/>
          </w:r>
          <w:r>
            <w:rPr>
              <w:rStyle w:val="77"/>
              <w:rFonts w:eastAsia="黑体"/>
              <w:b/>
            </w:rPr>
            <w:t>重点项目</w:t>
          </w:r>
          <w:r>
            <w:tab/>
          </w:r>
          <w:r>
            <w:fldChar w:fldCharType="begin"/>
          </w:r>
          <w:r>
            <w:instrText xml:space="preserve"> PAGEREF _Toc192675942 \h </w:instrText>
          </w:r>
          <w:r>
            <w:fldChar w:fldCharType="separate"/>
          </w:r>
          <w:r>
            <w:t>60</w:t>
          </w:r>
          <w:r>
            <w:fldChar w:fldCharType="end"/>
          </w:r>
          <w:r>
            <w:fldChar w:fldCharType="end"/>
          </w:r>
        </w:p>
        <w:p w14:paraId="482D2FC2">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"_Toc192675943" </w:instrText>
          </w:r>
          <w:r>
            <w:fldChar w:fldCharType="separate"/>
          </w:r>
          <w:r>
            <w:rPr>
              <w:rStyle w:val="77"/>
              <w:rFonts w:eastAsia="黑体"/>
              <w:b/>
            </w:rPr>
            <w:t>6.4</w:t>
          </w:r>
          <w:r>
            <w:rPr>
              <w:rFonts w:asciiTheme="minorHAnsi" w:hAnsiTheme="minorHAnsi" w:eastAsiaTheme="minorEastAsia" w:cstheme="minorBidi"/>
              <w:bCs w:val="0"/>
              <w:sz w:val="21"/>
              <w:szCs w:val="22"/>
            </w:rPr>
            <w:tab/>
          </w:r>
          <w:r>
            <w:rPr>
              <w:rStyle w:val="77"/>
              <w:rFonts w:eastAsia="黑体"/>
              <w:b/>
            </w:rPr>
            <w:t>新能源汽车产业</w:t>
          </w:r>
          <w:r>
            <w:tab/>
          </w:r>
          <w:r>
            <w:fldChar w:fldCharType="begin"/>
          </w:r>
          <w:r>
            <w:instrText xml:space="preserve"> PAGEREF _Toc192675943 \h </w:instrText>
          </w:r>
          <w:r>
            <w:fldChar w:fldCharType="separate"/>
          </w:r>
          <w:r>
            <w:t>61</w:t>
          </w:r>
          <w:r>
            <w:fldChar w:fldCharType="end"/>
          </w:r>
          <w:r>
            <w:fldChar w:fldCharType="end"/>
          </w:r>
        </w:p>
        <w:p w14:paraId="69A5808F">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"_Toc192675944" </w:instrText>
          </w:r>
          <w:r>
            <w:fldChar w:fldCharType="separate"/>
          </w:r>
          <w:r>
            <w:rPr>
              <w:rStyle w:val="77"/>
              <w:rFonts w:eastAsia="黑体"/>
              <w:b/>
            </w:rPr>
            <w:t>6.4.1</w:t>
          </w:r>
          <w:r>
            <w:rPr>
              <w:rFonts w:asciiTheme="minorHAnsi" w:hAnsiTheme="minorHAnsi" w:eastAsiaTheme="minorEastAsia" w:cstheme="minorBidi"/>
              <w:bCs w:val="0"/>
              <w:sz w:val="21"/>
              <w:szCs w:val="22"/>
            </w:rPr>
            <w:tab/>
          </w:r>
          <w:r>
            <w:rPr>
              <w:rStyle w:val="77"/>
              <w:rFonts w:eastAsia="黑体"/>
              <w:b/>
            </w:rPr>
            <w:t>发展趋势</w:t>
          </w:r>
          <w:r>
            <w:tab/>
          </w:r>
          <w:r>
            <w:fldChar w:fldCharType="begin"/>
          </w:r>
          <w:r>
            <w:instrText xml:space="preserve"> PAGEREF _Toc192675944 \h </w:instrText>
          </w:r>
          <w:r>
            <w:fldChar w:fldCharType="separate"/>
          </w:r>
          <w:r>
            <w:t>61</w:t>
          </w:r>
          <w:r>
            <w:fldChar w:fldCharType="end"/>
          </w:r>
          <w:r>
            <w:fldChar w:fldCharType="end"/>
          </w:r>
        </w:p>
        <w:p w14:paraId="52034365">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"_Toc192675945" </w:instrText>
          </w:r>
          <w:r>
            <w:fldChar w:fldCharType="separate"/>
          </w:r>
          <w:r>
            <w:rPr>
              <w:rStyle w:val="77"/>
              <w:rFonts w:eastAsia="黑体"/>
              <w:b/>
            </w:rPr>
            <w:t>6.4.2</w:t>
          </w:r>
          <w:r>
            <w:rPr>
              <w:rFonts w:asciiTheme="minorHAnsi" w:hAnsiTheme="minorHAnsi" w:eastAsiaTheme="minorEastAsia" w:cstheme="minorBidi"/>
              <w:bCs w:val="0"/>
              <w:sz w:val="21"/>
              <w:szCs w:val="22"/>
            </w:rPr>
            <w:tab/>
          </w:r>
          <w:r>
            <w:rPr>
              <w:rStyle w:val="77"/>
              <w:rFonts w:eastAsia="黑体"/>
              <w:b/>
            </w:rPr>
            <w:t>产业发展基础</w:t>
          </w:r>
          <w:r>
            <w:tab/>
          </w:r>
          <w:r>
            <w:fldChar w:fldCharType="begin"/>
          </w:r>
          <w:r>
            <w:instrText xml:space="preserve"> PAGEREF _Toc192675945 \h </w:instrText>
          </w:r>
          <w:r>
            <w:fldChar w:fldCharType="separate"/>
          </w:r>
          <w:r>
            <w:t>61</w:t>
          </w:r>
          <w:r>
            <w:fldChar w:fldCharType="end"/>
          </w:r>
          <w:r>
            <w:fldChar w:fldCharType="end"/>
          </w:r>
        </w:p>
        <w:p w14:paraId="58ADAB0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"_Toc192675946" </w:instrText>
          </w:r>
          <w:r>
            <w:fldChar w:fldCharType="separate"/>
          </w:r>
          <w:r>
            <w:rPr>
              <w:rStyle w:val="77"/>
              <w:rFonts w:eastAsia="黑体"/>
              <w:b/>
            </w:rPr>
            <w:t>6.4.3</w:t>
          </w:r>
          <w:r>
            <w:rPr>
              <w:rFonts w:asciiTheme="minorHAnsi" w:hAnsiTheme="minorHAnsi" w:eastAsiaTheme="minorEastAsia" w:cstheme="minorBidi"/>
              <w:bCs w:val="0"/>
              <w:sz w:val="21"/>
              <w:szCs w:val="22"/>
            </w:rPr>
            <w:tab/>
          </w:r>
          <w:r>
            <w:rPr>
              <w:rStyle w:val="77"/>
              <w:rFonts w:eastAsia="黑体"/>
              <w:b/>
            </w:rPr>
            <w:t>发展思路</w:t>
          </w:r>
          <w:r>
            <w:tab/>
          </w:r>
          <w:r>
            <w:fldChar w:fldCharType="begin"/>
          </w:r>
          <w:r>
            <w:instrText xml:space="preserve"> PAGEREF _Toc192675946 \h </w:instrText>
          </w:r>
          <w:r>
            <w:fldChar w:fldCharType="separate"/>
          </w:r>
          <w:r>
            <w:t>62</w:t>
          </w:r>
          <w:r>
            <w:fldChar w:fldCharType="end"/>
          </w:r>
          <w:r>
            <w:fldChar w:fldCharType="end"/>
          </w:r>
        </w:p>
        <w:p w14:paraId="21E72D84">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"_Toc192675947" </w:instrText>
          </w:r>
          <w:r>
            <w:fldChar w:fldCharType="separate"/>
          </w:r>
          <w:r>
            <w:rPr>
              <w:rStyle w:val="77"/>
              <w:rFonts w:eastAsia="黑体"/>
              <w:b/>
            </w:rPr>
            <w:t>6.4.4</w:t>
          </w:r>
          <w:r>
            <w:rPr>
              <w:rFonts w:asciiTheme="minorHAnsi" w:hAnsiTheme="minorHAnsi" w:eastAsiaTheme="minorEastAsia" w:cstheme="minorBidi"/>
              <w:bCs w:val="0"/>
              <w:sz w:val="21"/>
              <w:szCs w:val="22"/>
            </w:rPr>
            <w:tab/>
          </w:r>
          <w:r>
            <w:rPr>
              <w:rStyle w:val="77"/>
              <w:rFonts w:eastAsia="黑体"/>
              <w:b/>
            </w:rPr>
            <w:t>发展重点</w:t>
          </w:r>
          <w:r>
            <w:tab/>
          </w:r>
          <w:r>
            <w:fldChar w:fldCharType="begin"/>
          </w:r>
          <w:r>
            <w:instrText xml:space="preserve"> PAGEREF _Toc192675947 \h </w:instrText>
          </w:r>
          <w:r>
            <w:fldChar w:fldCharType="separate"/>
          </w:r>
          <w:r>
            <w:t>63</w:t>
          </w:r>
          <w:r>
            <w:fldChar w:fldCharType="end"/>
          </w:r>
          <w:r>
            <w:fldChar w:fldCharType="end"/>
          </w:r>
        </w:p>
        <w:p w14:paraId="78146189">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"_Toc192675948" </w:instrText>
          </w:r>
          <w:r>
            <w:fldChar w:fldCharType="separate"/>
          </w:r>
          <w:r>
            <w:rPr>
              <w:rStyle w:val="77"/>
              <w:rFonts w:eastAsia="黑体"/>
              <w:b/>
            </w:rPr>
            <w:t>6.4.5</w:t>
          </w:r>
          <w:r>
            <w:rPr>
              <w:rFonts w:asciiTheme="minorHAnsi" w:hAnsiTheme="minorHAnsi" w:eastAsiaTheme="minorEastAsia" w:cstheme="minorBidi"/>
              <w:bCs w:val="0"/>
              <w:sz w:val="21"/>
              <w:szCs w:val="22"/>
            </w:rPr>
            <w:tab/>
          </w:r>
          <w:r>
            <w:rPr>
              <w:rStyle w:val="77"/>
              <w:rFonts w:eastAsia="黑体"/>
              <w:b/>
            </w:rPr>
            <w:t>重点项目</w:t>
          </w:r>
          <w:r>
            <w:tab/>
          </w:r>
          <w:r>
            <w:fldChar w:fldCharType="begin"/>
          </w:r>
          <w:r>
            <w:instrText xml:space="preserve"> PAGEREF _Toc192675948 \h </w:instrText>
          </w:r>
          <w:r>
            <w:fldChar w:fldCharType="separate"/>
          </w:r>
          <w:r>
            <w:t>64</w:t>
          </w:r>
          <w:r>
            <w:fldChar w:fldCharType="end"/>
          </w:r>
          <w:r>
            <w:fldChar w:fldCharType="end"/>
          </w:r>
        </w:p>
        <w:p w14:paraId="5DD4D28F">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"_Toc192675949" </w:instrText>
          </w:r>
          <w:r>
            <w:fldChar w:fldCharType="separate"/>
          </w:r>
          <w:r>
            <w:rPr>
              <w:rStyle w:val="77"/>
              <w:rFonts w:eastAsia="黑体"/>
              <w:b/>
            </w:rPr>
            <w:t>6.5</w:t>
          </w:r>
          <w:r>
            <w:rPr>
              <w:rFonts w:asciiTheme="minorHAnsi" w:hAnsiTheme="minorHAnsi" w:eastAsiaTheme="minorEastAsia" w:cstheme="minorBidi"/>
              <w:bCs w:val="0"/>
              <w:sz w:val="21"/>
              <w:szCs w:val="22"/>
            </w:rPr>
            <w:tab/>
          </w:r>
          <w:r>
            <w:rPr>
              <w:rStyle w:val="77"/>
              <w:rFonts w:eastAsia="黑体"/>
              <w:b/>
            </w:rPr>
            <w:t>新一代信息技术产业</w:t>
          </w:r>
          <w:r>
            <w:tab/>
          </w:r>
          <w:r>
            <w:fldChar w:fldCharType="begin"/>
          </w:r>
          <w:r>
            <w:instrText xml:space="preserve"> PAGEREF _Toc192675949 \h </w:instrText>
          </w:r>
          <w:r>
            <w:fldChar w:fldCharType="separate"/>
          </w:r>
          <w:r>
            <w:t>65</w:t>
          </w:r>
          <w:r>
            <w:fldChar w:fldCharType="end"/>
          </w:r>
          <w:r>
            <w:fldChar w:fldCharType="end"/>
          </w:r>
        </w:p>
        <w:p w14:paraId="177FBF77">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"_Toc192675950" </w:instrText>
          </w:r>
          <w:r>
            <w:fldChar w:fldCharType="separate"/>
          </w:r>
          <w:r>
            <w:rPr>
              <w:rStyle w:val="77"/>
              <w:rFonts w:eastAsia="黑体"/>
              <w:b/>
            </w:rPr>
            <w:t>6.5.1</w:t>
          </w:r>
          <w:r>
            <w:rPr>
              <w:rFonts w:asciiTheme="minorHAnsi" w:hAnsiTheme="minorHAnsi" w:eastAsiaTheme="minorEastAsia" w:cstheme="minorBidi"/>
              <w:bCs w:val="0"/>
              <w:sz w:val="21"/>
              <w:szCs w:val="22"/>
            </w:rPr>
            <w:tab/>
          </w:r>
          <w:r>
            <w:rPr>
              <w:rStyle w:val="77"/>
              <w:rFonts w:eastAsia="黑体"/>
              <w:b/>
            </w:rPr>
            <w:t>发展趋势</w:t>
          </w:r>
          <w:r>
            <w:tab/>
          </w:r>
          <w:r>
            <w:fldChar w:fldCharType="begin"/>
          </w:r>
          <w:r>
            <w:instrText xml:space="preserve"> PAGEREF _Toc192675950 \h </w:instrText>
          </w:r>
          <w:r>
            <w:fldChar w:fldCharType="separate"/>
          </w:r>
          <w:r>
            <w:t>65</w:t>
          </w:r>
          <w:r>
            <w:fldChar w:fldCharType="end"/>
          </w:r>
          <w:r>
            <w:fldChar w:fldCharType="end"/>
          </w:r>
        </w:p>
        <w:p w14:paraId="51F1A01B">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"_Toc192675951" </w:instrText>
          </w:r>
          <w:r>
            <w:fldChar w:fldCharType="separate"/>
          </w:r>
          <w:r>
            <w:rPr>
              <w:rStyle w:val="77"/>
              <w:rFonts w:eastAsia="黑体"/>
              <w:b/>
            </w:rPr>
            <w:t>6.5.2</w:t>
          </w:r>
          <w:r>
            <w:rPr>
              <w:rFonts w:asciiTheme="minorHAnsi" w:hAnsiTheme="minorHAnsi" w:eastAsiaTheme="minorEastAsia" w:cstheme="minorBidi"/>
              <w:bCs w:val="0"/>
              <w:sz w:val="21"/>
              <w:szCs w:val="22"/>
            </w:rPr>
            <w:tab/>
          </w:r>
          <w:r>
            <w:rPr>
              <w:rStyle w:val="77"/>
              <w:rFonts w:eastAsia="黑体"/>
              <w:b/>
            </w:rPr>
            <w:t>发展思路</w:t>
          </w:r>
          <w:r>
            <w:tab/>
          </w:r>
          <w:r>
            <w:fldChar w:fldCharType="begin"/>
          </w:r>
          <w:r>
            <w:instrText xml:space="preserve"> PAGEREF _Toc192675951 \h </w:instrText>
          </w:r>
          <w:r>
            <w:fldChar w:fldCharType="separate"/>
          </w:r>
          <w:r>
            <w:t>65</w:t>
          </w:r>
          <w:r>
            <w:fldChar w:fldCharType="end"/>
          </w:r>
          <w:r>
            <w:fldChar w:fldCharType="end"/>
          </w:r>
        </w:p>
        <w:p w14:paraId="1FB0BBB0">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"_Toc192675952" </w:instrText>
          </w:r>
          <w:r>
            <w:fldChar w:fldCharType="separate"/>
          </w:r>
          <w:r>
            <w:rPr>
              <w:rStyle w:val="77"/>
              <w:rFonts w:eastAsia="黑体"/>
              <w:b/>
            </w:rPr>
            <w:t>6.5.3</w:t>
          </w:r>
          <w:r>
            <w:rPr>
              <w:rFonts w:asciiTheme="minorHAnsi" w:hAnsiTheme="minorHAnsi" w:eastAsiaTheme="minorEastAsia" w:cstheme="minorBidi"/>
              <w:bCs w:val="0"/>
              <w:sz w:val="21"/>
              <w:szCs w:val="22"/>
            </w:rPr>
            <w:tab/>
          </w:r>
          <w:r>
            <w:rPr>
              <w:rStyle w:val="77"/>
              <w:rFonts w:eastAsia="黑体"/>
              <w:b/>
            </w:rPr>
            <w:t>发展重点</w:t>
          </w:r>
          <w:r>
            <w:tab/>
          </w:r>
          <w:r>
            <w:fldChar w:fldCharType="begin"/>
          </w:r>
          <w:r>
            <w:instrText xml:space="preserve"> PAGEREF _Toc192675952 \h </w:instrText>
          </w:r>
          <w:r>
            <w:fldChar w:fldCharType="separate"/>
          </w:r>
          <w:r>
            <w:t>66</w:t>
          </w:r>
          <w:r>
            <w:fldChar w:fldCharType="end"/>
          </w:r>
          <w:r>
            <w:fldChar w:fldCharType="end"/>
          </w:r>
        </w:p>
        <w:p w14:paraId="0E347EF8">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"_Toc192675953" </w:instrText>
          </w:r>
          <w:r>
            <w:fldChar w:fldCharType="separate"/>
          </w:r>
          <w:r>
            <w:rPr>
              <w:rStyle w:val="77"/>
              <w:rFonts w:eastAsia="黑体"/>
              <w:b/>
            </w:rPr>
            <w:t>6.5.4</w:t>
          </w:r>
          <w:r>
            <w:rPr>
              <w:rFonts w:asciiTheme="minorHAnsi" w:hAnsiTheme="minorHAnsi" w:eastAsiaTheme="minorEastAsia" w:cstheme="minorBidi"/>
              <w:bCs w:val="0"/>
              <w:sz w:val="21"/>
              <w:szCs w:val="22"/>
            </w:rPr>
            <w:tab/>
          </w:r>
          <w:r>
            <w:rPr>
              <w:rStyle w:val="77"/>
              <w:rFonts w:eastAsia="黑体"/>
              <w:b/>
            </w:rPr>
            <w:t>重点项目</w:t>
          </w:r>
          <w:r>
            <w:tab/>
          </w:r>
          <w:r>
            <w:fldChar w:fldCharType="begin"/>
          </w:r>
          <w:r>
            <w:instrText xml:space="preserve"> PAGEREF _Toc192675953 \h </w:instrText>
          </w:r>
          <w:r>
            <w:fldChar w:fldCharType="separate"/>
          </w:r>
          <w:r>
            <w:t>67</w:t>
          </w:r>
          <w:r>
            <w:fldChar w:fldCharType="end"/>
          </w:r>
          <w:r>
            <w:fldChar w:fldCharType="end"/>
          </w:r>
        </w:p>
        <w:p w14:paraId="53F29CCB">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"_Toc192675954" </w:instrText>
          </w:r>
          <w:r>
            <w:fldChar w:fldCharType="separate"/>
          </w:r>
          <w:r>
            <w:rPr>
              <w:rStyle w:val="77"/>
              <w:rFonts w:eastAsia="黑体"/>
              <w:b/>
            </w:rPr>
            <w:t>6.6</w:t>
          </w:r>
          <w:r>
            <w:rPr>
              <w:rFonts w:asciiTheme="minorHAnsi" w:hAnsiTheme="minorHAnsi" w:eastAsiaTheme="minorEastAsia" w:cstheme="minorBidi"/>
              <w:bCs w:val="0"/>
              <w:sz w:val="21"/>
              <w:szCs w:val="22"/>
            </w:rPr>
            <w:tab/>
          </w:r>
          <w:r>
            <w:rPr>
              <w:rStyle w:val="77"/>
              <w:rFonts w:eastAsia="黑体"/>
              <w:b/>
            </w:rPr>
            <w:t>配套服务产业</w:t>
          </w:r>
          <w:r>
            <w:tab/>
          </w:r>
          <w:r>
            <w:fldChar w:fldCharType="begin"/>
          </w:r>
          <w:r>
            <w:instrText xml:space="preserve"> PAGEREF _Toc192675954 \h </w:instrText>
          </w:r>
          <w:r>
            <w:fldChar w:fldCharType="separate"/>
          </w:r>
          <w:r>
            <w:t>68</w:t>
          </w:r>
          <w:r>
            <w:fldChar w:fldCharType="end"/>
          </w:r>
          <w:r>
            <w:fldChar w:fldCharType="end"/>
          </w:r>
        </w:p>
        <w:p w14:paraId="7A982819">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"_Toc192675956" </w:instrText>
          </w:r>
          <w:r>
            <w:fldChar w:fldCharType="separate"/>
          </w:r>
          <w:r>
            <w:rPr>
              <w:rStyle w:val="77"/>
              <w:rFonts w:eastAsia="黑体"/>
              <w:b/>
            </w:rPr>
            <w:t>6.6.1</w:t>
          </w:r>
          <w:r>
            <w:rPr>
              <w:rFonts w:asciiTheme="minorHAnsi" w:hAnsiTheme="minorHAnsi" w:eastAsiaTheme="minorEastAsia" w:cstheme="minorBidi"/>
              <w:bCs w:val="0"/>
              <w:sz w:val="21"/>
              <w:szCs w:val="22"/>
            </w:rPr>
            <w:tab/>
          </w:r>
          <w:r>
            <w:rPr>
              <w:rStyle w:val="77"/>
              <w:rFonts w:eastAsia="黑体"/>
              <w:b/>
            </w:rPr>
            <w:t>发展思路</w:t>
          </w:r>
          <w:r>
            <w:tab/>
          </w:r>
          <w:r>
            <w:fldChar w:fldCharType="begin"/>
          </w:r>
          <w:r>
            <w:instrText xml:space="preserve"> PAGEREF _Toc192675956 \h </w:instrText>
          </w:r>
          <w:r>
            <w:fldChar w:fldCharType="separate"/>
          </w:r>
          <w:r>
            <w:t>68</w:t>
          </w:r>
          <w:r>
            <w:fldChar w:fldCharType="end"/>
          </w:r>
          <w:r>
            <w:fldChar w:fldCharType="end"/>
          </w:r>
        </w:p>
        <w:p w14:paraId="62CCF39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"_Toc192675957" </w:instrText>
          </w:r>
          <w:r>
            <w:fldChar w:fldCharType="separate"/>
          </w:r>
          <w:r>
            <w:rPr>
              <w:rStyle w:val="77"/>
              <w:rFonts w:eastAsia="黑体"/>
              <w:b/>
            </w:rPr>
            <w:t>6.6.2</w:t>
          </w:r>
          <w:r>
            <w:rPr>
              <w:rFonts w:asciiTheme="minorHAnsi" w:hAnsiTheme="minorHAnsi" w:eastAsiaTheme="minorEastAsia" w:cstheme="minorBidi"/>
              <w:bCs w:val="0"/>
              <w:sz w:val="21"/>
              <w:szCs w:val="22"/>
            </w:rPr>
            <w:tab/>
          </w:r>
          <w:r>
            <w:rPr>
              <w:rStyle w:val="77"/>
              <w:rFonts w:eastAsia="黑体"/>
              <w:b/>
            </w:rPr>
            <w:t>配套产业发展重点及目标</w:t>
          </w:r>
          <w:r>
            <w:tab/>
          </w:r>
          <w:r>
            <w:fldChar w:fldCharType="begin"/>
          </w:r>
          <w:r>
            <w:instrText xml:space="preserve"> PAGEREF _Toc192675957 \h </w:instrText>
          </w:r>
          <w:r>
            <w:fldChar w:fldCharType="separate"/>
          </w:r>
          <w:r>
            <w:t>69</w:t>
          </w:r>
          <w:r>
            <w:fldChar w:fldCharType="end"/>
          </w:r>
          <w:r>
            <w:fldChar w:fldCharType="end"/>
          </w:r>
        </w:p>
        <w:p w14:paraId="499F5D01">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"_Toc192675958" </w:instrText>
          </w:r>
          <w:r>
            <w:fldChar w:fldCharType="separate"/>
          </w:r>
          <w:r>
            <w:rPr>
              <w:rStyle w:val="77"/>
              <w:rFonts w:eastAsia="黑体"/>
              <w:b/>
            </w:rPr>
            <w:t>6.6.3</w:t>
          </w:r>
          <w:r>
            <w:rPr>
              <w:rFonts w:asciiTheme="minorHAnsi" w:hAnsiTheme="minorHAnsi" w:eastAsiaTheme="minorEastAsia" w:cstheme="minorBidi"/>
              <w:bCs w:val="0"/>
              <w:sz w:val="21"/>
              <w:szCs w:val="22"/>
            </w:rPr>
            <w:tab/>
          </w:r>
          <w:r>
            <w:rPr>
              <w:rStyle w:val="77"/>
              <w:rFonts w:eastAsia="黑体"/>
              <w:b/>
            </w:rPr>
            <w:t>重点项目</w:t>
          </w:r>
          <w:r>
            <w:tab/>
          </w:r>
          <w:r>
            <w:fldChar w:fldCharType="begin"/>
          </w:r>
          <w:r>
            <w:instrText xml:space="preserve"> PAGEREF _Toc192675958 \h </w:instrText>
          </w:r>
          <w:r>
            <w:fldChar w:fldCharType="separate"/>
          </w:r>
          <w:r>
            <w:t>72</w:t>
          </w:r>
          <w:r>
            <w:fldChar w:fldCharType="end"/>
          </w:r>
          <w:r>
            <w:fldChar w:fldCharType="end"/>
          </w:r>
        </w:p>
        <w:p w14:paraId="580CC4A9">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"_Toc192675959" </w:instrText>
          </w:r>
          <w:r>
            <w:fldChar w:fldCharType="separate"/>
          </w:r>
          <w:r>
            <w:rPr>
              <w:rStyle w:val="77"/>
              <w:rFonts w:eastAsia="黑体"/>
            </w:rPr>
            <w:t>7 资源环境承载力分析</w:t>
          </w:r>
          <w:r>
            <w:tab/>
          </w:r>
          <w:r>
            <w:fldChar w:fldCharType="begin"/>
          </w:r>
          <w:r>
            <w:instrText xml:space="preserve"> PAGEREF _Toc192675959 \h </w:instrText>
          </w:r>
          <w:r>
            <w:fldChar w:fldCharType="separate"/>
          </w:r>
          <w:r>
            <w:t>73</w:t>
          </w:r>
          <w:r>
            <w:fldChar w:fldCharType="end"/>
          </w:r>
          <w:r>
            <w:fldChar w:fldCharType="end"/>
          </w:r>
        </w:p>
        <w:p w14:paraId="69DCC199">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"_Toc192675966" </w:instrText>
          </w:r>
          <w:r>
            <w:fldChar w:fldCharType="separate"/>
          </w:r>
          <w:r>
            <w:rPr>
              <w:rStyle w:val="77"/>
              <w:rFonts w:eastAsia="黑体"/>
              <w:b/>
            </w:rPr>
            <w:t>7.1</w:t>
          </w:r>
          <w:r>
            <w:rPr>
              <w:rFonts w:asciiTheme="minorHAnsi" w:hAnsiTheme="minorHAnsi" w:eastAsiaTheme="minorEastAsia" w:cstheme="minorBidi"/>
              <w:bCs w:val="0"/>
              <w:sz w:val="21"/>
              <w:szCs w:val="22"/>
            </w:rPr>
            <w:tab/>
          </w:r>
          <w:r>
            <w:rPr>
              <w:rStyle w:val="77"/>
              <w:rFonts w:eastAsia="黑体"/>
              <w:b/>
            </w:rPr>
            <w:t>土地资源承载能力</w:t>
          </w:r>
          <w:r>
            <w:tab/>
          </w:r>
          <w:r>
            <w:fldChar w:fldCharType="begin"/>
          </w:r>
          <w:r>
            <w:instrText xml:space="preserve"> PAGEREF _Toc192675966 \h </w:instrText>
          </w:r>
          <w:r>
            <w:fldChar w:fldCharType="separate"/>
          </w:r>
          <w:r>
            <w:t>73</w:t>
          </w:r>
          <w:r>
            <w:fldChar w:fldCharType="end"/>
          </w:r>
          <w:r>
            <w:fldChar w:fldCharType="end"/>
          </w:r>
        </w:p>
        <w:p w14:paraId="3882ACD6">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"_Toc192675967" </w:instrText>
          </w:r>
          <w:r>
            <w:fldChar w:fldCharType="separate"/>
          </w:r>
          <w:r>
            <w:rPr>
              <w:rStyle w:val="77"/>
              <w:rFonts w:eastAsia="黑体"/>
              <w:b/>
            </w:rPr>
            <w:t>7.2</w:t>
          </w:r>
          <w:r>
            <w:rPr>
              <w:rFonts w:asciiTheme="minorHAnsi" w:hAnsiTheme="minorHAnsi" w:eastAsiaTheme="minorEastAsia" w:cstheme="minorBidi"/>
              <w:bCs w:val="0"/>
              <w:sz w:val="21"/>
              <w:szCs w:val="22"/>
            </w:rPr>
            <w:tab/>
          </w:r>
          <w:r>
            <w:rPr>
              <w:rStyle w:val="77"/>
              <w:rFonts w:eastAsia="黑体"/>
              <w:b/>
            </w:rPr>
            <w:t>水资源承载力分析</w:t>
          </w:r>
          <w:r>
            <w:tab/>
          </w:r>
          <w:r>
            <w:fldChar w:fldCharType="begin"/>
          </w:r>
          <w:r>
            <w:instrText xml:space="preserve"> PAGEREF _Toc192675967 \h </w:instrText>
          </w:r>
          <w:r>
            <w:fldChar w:fldCharType="separate"/>
          </w:r>
          <w:r>
            <w:t>73</w:t>
          </w:r>
          <w:r>
            <w:fldChar w:fldCharType="end"/>
          </w:r>
          <w:r>
            <w:fldChar w:fldCharType="end"/>
          </w:r>
        </w:p>
        <w:p w14:paraId="17806F95">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"_Toc192675968" </w:instrText>
          </w:r>
          <w:r>
            <w:fldChar w:fldCharType="separate"/>
          </w:r>
          <w:r>
            <w:rPr>
              <w:rStyle w:val="77"/>
              <w:rFonts w:eastAsia="黑体"/>
              <w:b/>
            </w:rPr>
            <w:t>7.3</w:t>
          </w:r>
          <w:r>
            <w:rPr>
              <w:rFonts w:asciiTheme="minorHAnsi" w:hAnsiTheme="minorHAnsi" w:eastAsiaTheme="minorEastAsia" w:cstheme="minorBidi"/>
              <w:bCs w:val="0"/>
              <w:sz w:val="21"/>
              <w:szCs w:val="22"/>
            </w:rPr>
            <w:tab/>
          </w:r>
          <w:r>
            <w:rPr>
              <w:rStyle w:val="77"/>
              <w:rFonts w:eastAsia="黑体"/>
              <w:b/>
            </w:rPr>
            <w:t>社会条件承载力分析</w:t>
          </w:r>
          <w:r>
            <w:tab/>
          </w:r>
          <w:r>
            <w:fldChar w:fldCharType="begin"/>
          </w:r>
          <w:r>
            <w:instrText xml:space="preserve"> PAGEREF _Toc192675968 \h </w:instrText>
          </w:r>
          <w:r>
            <w:fldChar w:fldCharType="separate"/>
          </w:r>
          <w:r>
            <w:t>75</w:t>
          </w:r>
          <w:r>
            <w:fldChar w:fldCharType="end"/>
          </w:r>
          <w:r>
            <w:fldChar w:fldCharType="end"/>
          </w:r>
        </w:p>
        <w:p w14:paraId="0FF021FD">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"_Toc192675969" </w:instrText>
          </w:r>
          <w:r>
            <w:fldChar w:fldCharType="separate"/>
          </w:r>
          <w:r>
            <w:rPr>
              <w:rStyle w:val="77"/>
              <w:rFonts w:eastAsia="黑体"/>
              <w:b/>
            </w:rPr>
            <w:t>7.3.1</w:t>
          </w:r>
          <w:r>
            <w:rPr>
              <w:rFonts w:asciiTheme="minorHAnsi" w:hAnsiTheme="minorHAnsi" w:eastAsiaTheme="minorEastAsia" w:cstheme="minorBidi"/>
              <w:bCs w:val="0"/>
              <w:sz w:val="21"/>
              <w:szCs w:val="22"/>
            </w:rPr>
            <w:tab/>
          </w:r>
          <w:r>
            <w:rPr>
              <w:rStyle w:val="77"/>
              <w:rFonts w:eastAsia="黑体"/>
              <w:b/>
            </w:rPr>
            <w:t>热、电供应能力</w:t>
          </w:r>
          <w:r>
            <w:tab/>
          </w:r>
          <w:r>
            <w:fldChar w:fldCharType="begin"/>
          </w:r>
          <w:r>
            <w:instrText xml:space="preserve"> PAGEREF _Toc192675969 \h </w:instrText>
          </w:r>
          <w:r>
            <w:fldChar w:fldCharType="separate"/>
          </w:r>
          <w:r>
            <w:t>75</w:t>
          </w:r>
          <w:r>
            <w:fldChar w:fldCharType="end"/>
          </w:r>
          <w:r>
            <w:fldChar w:fldCharType="end"/>
          </w:r>
        </w:p>
        <w:p w14:paraId="67BB7A73">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"_Toc192675970" </w:instrText>
          </w:r>
          <w:r>
            <w:fldChar w:fldCharType="separate"/>
          </w:r>
          <w:r>
            <w:rPr>
              <w:rStyle w:val="77"/>
              <w:rFonts w:eastAsia="黑体"/>
              <w:b/>
            </w:rPr>
            <w:t>7.3.2</w:t>
          </w:r>
          <w:r>
            <w:rPr>
              <w:rFonts w:asciiTheme="minorHAnsi" w:hAnsiTheme="minorHAnsi" w:eastAsiaTheme="minorEastAsia" w:cstheme="minorBidi"/>
              <w:bCs w:val="0"/>
              <w:sz w:val="21"/>
              <w:szCs w:val="22"/>
            </w:rPr>
            <w:tab/>
          </w:r>
          <w:r>
            <w:rPr>
              <w:rStyle w:val="77"/>
              <w:rFonts w:eastAsia="黑体"/>
              <w:b/>
            </w:rPr>
            <w:t>交通运输</w:t>
          </w:r>
          <w:r>
            <w:tab/>
          </w:r>
          <w:r>
            <w:fldChar w:fldCharType="begin"/>
          </w:r>
          <w:r>
            <w:instrText xml:space="preserve"> PAGEREF _Toc192675970 \h </w:instrText>
          </w:r>
          <w:r>
            <w:fldChar w:fldCharType="separate"/>
          </w:r>
          <w:r>
            <w:t>76</w:t>
          </w:r>
          <w:r>
            <w:fldChar w:fldCharType="end"/>
          </w:r>
          <w:r>
            <w:fldChar w:fldCharType="end"/>
          </w:r>
        </w:p>
        <w:p w14:paraId="6C90DCE2">
          <w:pPr>
            <w:pStyle w:val="34"/>
            <w:tabs>
              <w:tab w:val="left" w:pos="2520"/>
              <w:tab w:val="right" w:leader="dot" w:pos="8296"/>
            </w:tabs>
            <w:ind w:left="1120" w:firstLine="560"/>
            <w:rPr>
              <w:rFonts w:asciiTheme="minorHAnsi" w:hAnsiTheme="minorHAnsi" w:eastAsiaTheme="minorEastAsia" w:cstheme="minorBidi"/>
              <w:bCs w:val="0"/>
              <w:sz w:val="21"/>
              <w:szCs w:val="22"/>
            </w:rPr>
          </w:pPr>
          <w:r>
            <w:fldChar w:fldCharType="begin"/>
          </w:r>
          <w:r>
            <w:instrText xml:space="preserve"> HYPERLINK \l "_Toc192675971" </w:instrText>
          </w:r>
          <w:r>
            <w:fldChar w:fldCharType="separate"/>
          </w:r>
          <w:r>
            <w:rPr>
              <w:rStyle w:val="77"/>
              <w:rFonts w:eastAsia="黑体"/>
              <w:b/>
            </w:rPr>
            <w:t>7.3.3</w:t>
          </w:r>
          <w:r>
            <w:rPr>
              <w:rFonts w:asciiTheme="minorHAnsi" w:hAnsiTheme="minorHAnsi" w:eastAsiaTheme="minorEastAsia" w:cstheme="minorBidi"/>
              <w:bCs w:val="0"/>
              <w:sz w:val="21"/>
              <w:szCs w:val="22"/>
            </w:rPr>
            <w:tab/>
          </w:r>
          <w:r>
            <w:rPr>
              <w:rStyle w:val="77"/>
              <w:rFonts w:eastAsia="黑体"/>
              <w:b/>
            </w:rPr>
            <w:t>天然气承载力分析</w:t>
          </w:r>
          <w:r>
            <w:tab/>
          </w:r>
          <w:r>
            <w:fldChar w:fldCharType="begin"/>
          </w:r>
          <w:r>
            <w:instrText xml:space="preserve"> PAGEREF _Toc192675971 \h </w:instrText>
          </w:r>
          <w:r>
            <w:fldChar w:fldCharType="separate"/>
          </w:r>
          <w:r>
            <w:t>78</w:t>
          </w:r>
          <w:r>
            <w:fldChar w:fldCharType="end"/>
          </w:r>
          <w:r>
            <w:fldChar w:fldCharType="end"/>
          </w:r>
        </w:p>
        <w:p w14:paraId="22C88602">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"_Toc192675972" </w:instrText>
          </w:r>
          <w:r>
            <w:fldChar w:fldCharType="separate"/>
          </w:r>
          <w:r>
            <w:rPr>
              <w:rStyle w:val="77"/>
              <w:rFonts w:eastAsia="黑体"/>
            </w:rPr>
            <w:t>8 节能与环境保护</w:t>
          </w:r>
          <w:r>
            <w:tab/>
          </w:r>
          <w:r>
            <w:fldChar w:fldCharType="begin"/>
          </w:r>
          <w:r>
            <w:instrText xml:space="preserve"> PAGEREF _Toc192675972 \h </w:instrText>
          </w:r>
          <w:r>
            <w:fldChar w:fldCharType="separate"/>
          </w:r>
          <w:r>
            <w:t>80</w:t>
          </w:r>
          <w:r>
            <w:fldChar w:fldCharType="end"/>
          </w:r>
          <w:r>
            <w:fldChar w:fldCharType="end"/>
          </w:r>
        </w:p>
        <w:p w14:paraId="3F731F1D">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"_Toc192675974" </w:instrText>
          </w:r>
          <w:r>
            <w:fldChar w:fldCharType="separate"/>
          </w:r>
          <w:r>
            <w:rPr>
              <w:rStyle w:val="77"/>
              <w:rFonts w:eastAsia="黑体"/>
              <w:b/>
            </w:rPr>
            <w:t>8.1</w:t>
          </w:r>
          <w:r>
            <w:rPr>
              <w:rFonts w:asciiTheme="minorHAnsi" w:hAnsiTheme="minorHAnsi" w:eastAsiaTheme="minorEastAsia" w:cstheme="minorBidi"/>
              <w:bCs w:val="0"/>
              <w:sz w:val="21"/>
              <w:szCs w:val="22"/>
            </w:rPr>
            <w:tab/>
          </w:r>
          <w:r>
            <w:rPr>
              <w:rStyle w:val="77"/>
              <w:rFonts w:eastAsia="黑体"/>
              <w:b/>
            </w:rPr>
            <w:t>主要污染物排放量预测</w:t>
          </w:r>
          <w:r>
            <w:tab/>
          </w:r>
          <w:r>
            <w:fldChar w:fldCharType="begin"/>
          </w:r>
          <w:r>
            <w:instrText xml:space="preserve"> PAGEREF _Toc192675974 \h </w:instrText>
          </w:r>
          <w:r>
            <w:fldChar w:fldCharType="separate"/>
          </w:r>
          <w:r>
            <w:t>80</w:t>
          </w:r>
          <w:r>
            <w:fldChar w:fldCharType="end"/>
          </w:r>
          <w:r>
            <w:fldChar w:fldCharType="end"/>
          </w:r>
        </w:p>
        <w:p w14:paraId="006DEC76">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"_Toc192675975" </w:instrText>
          </w:r>
          <w:r>
            <w:fldChar w:fldCharType="separate"/>
          </w:r>
          <w:r>
            <w:rPr>
              <w:rStyle w:val="77"/>
              <w:rFonts w:eastAsia="黑体"/>
              <w:b/>
            </w:rPr>
            <w:t>8.2</w:t>
          </w:r>
          <w:r>
            <w:rPr>
              <w:rFonts w:asciiTheme="minorHAnsi" w:hAnsiTheme="minorHAnsi" w:eastAsiaTheme="minorEastAsia" w:cstheme="minorBidi"/>
              <w:bCs w:val="0"/>
              <w:sz w:val="21"/>
              <w:szCs w:val="22"/>
            </w:rPr>
            <w:tab/>
          </w:r>
          <w:r>
            <w:rPr>
              <w:rStyle w:val="77"/>
              <w:rFonts w:eastAsia="黑体"/>
              <w:b/>
            </w:rPr>
            <w:t>节能环保思路及目标</w:t>
          </w:r>
          <w:r>
            <w:tab/>
          </w:r>
          <w:r>
            <w:fldChar w:fldCharType="begin"/>
          </w:r>
          <w:r>
            <w:instrText xml:space="preserve"> PAGEREF _Toc192675975 \h </w:instrText>
          </w:r>
          <w:r>
            <w:fldChar w:fldCharType="separate"/>
          </w:r>
          <w:r>
            <w:t>80</w:t>
          </w:r>
          <w:r>
            <w:fldChar w:fldCharType="end"/>
          </w:r>
          <w:r>
            <w:fldChar w:fldCharType="end"/>
          </w:r>
        </w:p>
        <w:p w14:paraId="60A058DC">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"_Toc192675976" </w:instrText>
          </w:r>
          <w:r>
            <w:fldChar w:fldCharType="separate"/>
          </w:r>
          <w:r>
            <w:rPr>
              <w:rStyle w:val="77"/>
              <w:rFonts w:eastAsia="黑体"/>
              <w:b/>
            </w:rPr>
            <w:t>8.3</w:t>
          </w:r>
          <w:r>
            <w:rPr>
              <w:rFonts w:asciiTheme="minorHAnsi" w:hAnsiTheme="minorHAnsi" w:eastAsiaTheme="minorEastAsia" w:cstheme="minorBidi"/>
              <w:bCs w:val="0"/>
              <w:sz w:val="21"/>
              <w:szCs w:val="22"/>
            </w:rPr>
            <w:tab/>
          </w:r>
          <w:r>
            <w:rPr>
              <w:rStyle w:val="77"/>
              <w:rFonts w:eastAsia="黑体"/>
              <w:b/>
            </w:rPr>
            <w:t>环境保护与生态建设工程</w:t>
          </w:r>
          <w:r>
            <w:tab/>
          </w:r>
          <w:r>
            <w:fldChar w:fldCharType="begin"/>
          </w:r>
          <w:r>
            <w:instrText xml:space="preserve"> PAGEREF _Toc192675976 \h </w:instrText>
          </w:r>
          <w:r>
            <w:fldChar w:fldCharType="separate"/>
          </w:r>
          <w:r>
            <w:t>81</w:t>
          </w:r>
          <w:r>
            <w:fldChar w:fldCharType="end"/>
          </w:r>
          <w:r>
            <w:fldChar w:fldCharType="end"/>
          </w:r>
        </w:p>
        <w:p w14:paraId="7D8D401B">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"_Toc192675977" </w:instrText>
          </w:r>
          <w:r>
            <w:fldChar w:fldCharType="separate"/>
          </w:r>
          <w:r>
            <w:rPr>
              <w:rStyle w:val="77"/>
              <w:rFonts w:eastAsia="黑体"/>
            </w:rPr>
            <w:t>9 保障措施</w:t>
          </w:r>
          <w:r>
            <w:tab/>
          </w:r>
          <w:r>
            <w:fldChar w:fldCharType="begin"/>
          </w:r>
          <w:r>
            <w:instrText xml:space="preserve"> PAGEREF _Toc192675977 \h </w:instrText>
          </w:r>
          <w:r>
            <w:fldChar w:fldCharType="separate"/>
          </w:r>
          <w:r>
            <w:t>83</w:t>
          </w:r>
          <w:r>
            <w:fldChar w:fldCharType="end"/>
          </w:r>
          <w:r>
            <w:fldChar w:fldCharType="end"/>
          </w:r>
        </w:p>
        <w:p w14:paraId="2A865ACC">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"_Toc192675979" </w:instrText>
          </w:r>
          <w:r>
            <w:fldChar w:fldCharType="separate"/>
          </w:r>
          <w:r>
            <w:rPr>
              <w:rStyle w:val="77"/>
              <w:rFonts w:eastAsia="黑体"/>
              <w:b/>
            </w:rPr>
            <w:t>9.1</w:t>
          </w:r>
          <w:r>
            <w:rPr>
              <w:rFonts w:asciiTheme="minorHAnsi" w:hAnsiTheme="minorHAnsi" w:eastAsiaTheme="minorEastAsia" w:cstheme="minorBidi"/>
              <w:bCs w:val="0"/>
              <w:sz w:val="21"/>
              <w:szCs w:val="22"/>
            </w:rPr>
            <w:tab/>
          </w:r>
          <w:r>
            <w:rPr>
              <w:rStyle w:val="77"/>
              <w:rFonts w:eastAsia="黑体"/>
              <w:b/>
            </w:rPr>
            <w:t>统筹协调，加强组织领导</w:t>
          </w:r>
          <w:r>
            <w:tab/>
          </w:r>
          <w:r>
            <w:fldChar w:fldCharType="begin"/>
          </w:r>
          <w:r>
            <w:instrText xml:space="preserve"> PAGEREF _Toc192675979 \h </w:instrText>
          </w:r>
          <w:r>
            <w:fldChar w:fldCharType="separate"/>
          </w:r>
          <w:r>
            <w:t>83</w:t>
          </w:r>
          <w:r>
            <w:fldChar w:fldCharType="end"/>
          </w:r>
          <w:r>
            <w:fldChar w:fldCharType="end"/>
          </w:r>
        </w:p>
        <w:p w14:paraId="43FA7CF5">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"_Toc192675980" </w:instrText>
          </w:r>
          <w:r>
            <w:fldChar w:fldCharType="separate"/>
          </w:r>
          <w:r>
            <w:rPr>
              <w:rStyle w:val="77"/>
              <w:rFonts w:eastAsia="黑体"/>
              <w:b/>
            </w:rPr>
            <w:t>9.2</w:t>
          </w:r>
          <w:r>
            <w:rPr>
              <w:rFonts w:asciiTheme="minorHAnsi" w:hAnsiTheme="minorHAnsi" w:eastAsiaTheme="minorEastAsia" w:cstheme="minorBidi"/>
              <w:bCs w:val="0"/>
              <w:sz w:val="21"/>
              <w:szCs w:val="22"/>
            </w:rPr>
            <w:tab/>
          </w:r>
          <w:r>
            <w:rPr>
              <w:rStyle w:val="77"/>
              <w:rFonts w:eastAsia="黑体"/>
              <w:b/>
            </w:rPr>
            <w:t>招商引资，强化项目储备</w:t>
          </w:r>
          <w:r>
            <w:tab/>
          </w:r>
          <w:r>
            <w:fldChar w:fldCharType="begin"/>
          </w:r>
          <w:r>
            <w:instrText xml:space="preserve"> PAGEREF _Toc192675980 \h </w:instrText>
          </w:r>
          <w:r>
            <w:fldChar w:fldCharType="separate"/>
          </w:r>
          <w:r>
            <w:t>83</w:t>
          </w:r>
          <w:r>
            <w:fldChar w:fldCharType="end"/>
          </w:r>
          <w:r>
            <w:fldChar w:fldCharType="end"/>
          </w:r>
        </w:p>
        <w:p w14:paraId="3CF2473E">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"_Toc192675981" </w:instrText>
          </w:r>
          <w:r>
            <w:fldChar w:fldCharType="separate"/>
          </w:r>
          <w:r>
            <w:rPr>
              <w:rStyle w:val="77"/>
              <w:rFonts w:eastAsia="黑体"/>
              <w:b/>
            </w:rPr>
            <w:t>9.3</w:t>
          </w:r>
          <w:r>
            <w:rPr>
              <w:rFonts w:asciiTheme="minorHAnsi" w:hAnsiTheme="minorHAnsi" w:eastAsiaTheme="minorEastAsia" w:cstheme="minorBidi"/>
              <w:bCs w:val="0"/>
              <w:sz w:val="21"/>
              <w:szCs w:val="22"/>
            </w:rPr>
            <w:tab/>
          </w:r>
          <w:r>
            <w:rPr>
              <w:rStyle w:val="77"/>
              <w:rFonts w:eastAsia="黑体"/>
              <w:b/>
            </w:rPr>
            <w:t>集约节约，提高用地水平</w:t>
          </w:r>
          <w:r>
            <w:tab/>
          </w:r>
          <w:r>
            <w:fldChar w:fldCharType="begin"/>
          </w:r>
          <w:r>
            <w:instrText xml:space="preserve"> PAGEREF _Toc192675981 \h </w:instrText>
          </w:r>
          <w:r>
            <w:fldChar w:fldCharType="separate"/>
          </w:r>
          <w:r>
            <w:t>83</w:t>
          </w:r>
          <w:r>
            <w:fldChar w:fldCharType="end"/>
          </w:r>
          <w:r>
            <w:fldChar w:fldCharType="end"/>
          </w:r>
        </w:p>
        <w:p w14:paraId="3D5663A0">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"_Toc192675982" </w:instrText>
          </w:r>
          <w:r>
            <w:fldChar w:fldCharType="separate"/>
          </w:r>
          <w:r>
            <w:rPr>
              <w:rStyle w:val="77"/>
              <w:rFonts w:eastAsia="黑体"/>
              <w:b/>
            </w:rPr>
            <w:t>9.4</w:t>
          </w:r>
          <w:r>
            <w:rPr>
              <w:rFonts w:asciiTheme="minorHAnsi" w:hAnsiTheme="minorHAnsi" w:eastAsiaTheme="minorEastAsia" w:cstheme="minorBidi"/>
              <w:bCs w:val="0"/>
              <w:sz w:val="21"/>
              <w:szCs w:val="22"/>
            </w:rPr>
            <w:tab/>
          </w:r>
          <w:r>
            <w:rPr>
              <w:rStyle w:val="77"/>
              <w:rFonts w:eastAsia="黑体"/>
              <w:b/>
            </w:rPr>
            <w:t>多措并举，加大资金支持</w:t>
          </w:r>
          <w:r>
            <w:tab/>
          </w:r>
          <w:r>
            <w:fldChar w:fldCharType="begin"/>
          </w:r>
          <w:r>
            <w:instrText xml:space="preserve"> PAGEREF _Toc192675982 \h </w:instrText>
          </w:r>
          <w:r>
            <w:fldChar w:fldCharType="separate"/>
          </w:r>
          <w:r>
            <w:t>84</w:t>
          </w:r>
          <w:r>
            <w:fldChar w:fldCharType="end"/>
          </w:r>
          <w:r>
            <w:fldChar w:fldCharType="end"/>
          </w:r>
        </w:p>
        <w:p w14:paraId="68560136">
          <w:pPr>
            <w:pStyle w:val="55"/>
            <w:tabs>
              <w:tab w:val="left" w:pos="1680"/>
              <w:tab w:val="right" w:leader="dot" w:pos="8296"/>
            </w:tabs>
            <w:ind w:left="560" w:firstLine="560"/>
            <w:rPr>
              <w:rFonts w:asciiTheme="minorHAnsi" w:hAnsiTheme="minorHAnsi" w:eastAsiaTheme="minorEastAsia" w:cstheme="minorBidi"/>
              <w:bCs w:val="0"/>
              <w:sz w:val="21"/>
              <w:szCs w:val="22"/>
            </w:rPr>
          </w:pPr>
          <w:r>
            <w:fldChar w:fldCharType="begin"/>
          </w:r>
          <w:r>
            <w:instrText xml:space="preserve"> HYPERLINK \l "_Toc192675983" </w:instrText>
          </w:r>
          <w:r>
            <w:fldChar w:fldCharType="separate"/>
          </w:r>
          <w:r>
            <w:rPr>
              <w:rStyle w:val="77"/>
              <w:rFonts w:eastAsia="黑体"/>
              <w:b/>
            </w:rPr>
            <w:t>9.5</w:t>
          </w:r>
          <w:r>
            <w:rPr>
              <w:rFonts w:asciiTheme="minorHAnsi" w:hAnsiTheme="minorHAnsi" w:eastAsiaTheme="minorEastAsia" w:cstheme="minorBidi"/>
              <w:bCs w:val="0"/>
              <w:sz w:val="21"/>
              <w:szCs w:val="22"/>
            </w:rPr>
            <w:tab/>
          </w:r>
          <w:r>
            <w:rPr>
              <w:rStyle w:val="77"/>
              <w:rFonts w:eastAsia="黑体"/>
              <w:b/>
            </w:rPr>
            <w:t>简政放权，优化营商环境</w:t>
          </w:r>
          <w:r>
            <w:tab/>
          </w:r>
          <w:r>
            <w:fldChar w:fldCharType="begin"/>
          </w:r>
          <w:r>
            <w:instrText xml:space="preserve"> PAGEREF _Toc192675983 \h </w:instrText>
          </w:r>
          <w:r>
            <w:fldChar w:fldCharType="separate"/>
          </w:r>
          <w:r>
            <w:t>84</w:t>
          </w:r>
          <w:r>
            <w:fldChar w:fldCharType="end"/>
          </w:r>
          <w:r>
            <w:fldChar w:fldCharType="end"/>
          </w:r>
        </w:p>
        <w:p w14:paraId="1C0F0EA4">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"_Toc192675984" </w:instrText>
          </w:r>
          <w:r>
            <w:fldChar w:fldCharType="separate"/>
          </w:r>
          <w:r>
            <w:rPr>
              <w:rStyle w:val="77"/>
            </w:rPr>
            <w:t>附表1 园区企业基本情况（规划区）</w:t>
          </w:r>
          <w:r>
            <w:tab/>
          </w:r>
          <w:r>
            <w:fldChar w:fldCharType="begin"/>
          </w:r>
          <w:r>
            <w:instrText xml:space="preserve"> PAGEREF _Toc192675984 \h </w:instrText>
          </w:r>
          <w:r>
            <w:fldChar w:fldCharType="separate"/>
          </w:r>
          <w:r>
            <w:t>85</w:t>
          </w:r>
          <w:r>
            <w:fldChar w:fldCharType="end"/>
          </w:r>
          <w:r>
            <w:fldChar w:fldCharType="end"/>
          </w:r>
        </w:p>
        <w:p w14:paraId="64E731DC">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"_Toc192675985" </w:instrText>
          </w:r>
          <w:r>
            <w:fldChar w:fldCharType="separate"/>
          </w:r>
          <w:r>
            <w:rPr>
              <w:rStyle w:val="77"/>
            </w:rPr>
            <w:t>附表2 园区企业基本情况（已建区）</w:t>
          </w:r>
          <w:r>
            <w:tab/>
          </w:r>
          <w:r>
            <w:fldChar w:fldCharType="begin"/>
          </w:r>
          <w:r>
            <w:instrText xml:space="preserve"> PAGEREF _Toc192675985 \h </w:instrText>
          </w:r>
          <w:r>
            <w:fldChar w:fldCharType="separate"/>
          </w:r>
          <w:r>
            <w:t>94</w:t>
          </w:r>
          <w:r>
            <w:fldChar w:fldCharType="end"/>
          </w:r>
          <w:r>
            <w:fldChar w:fldCharType="end"/>
          </w:r>
        </w:p>
        <w:p w14:paraId="2B918E78">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"_Toc192675986" </w:instrText>
          </w:r>
          <w:r>
            <w:fldChar w:fldCharType="separate"/>
          </w:r>
          <w:r>
            <w:rPr>
              <w:rStyle w:val="77"/>
            </w:rPr>
            <w:t>附表3 园区企业基本情况（北大科技园）</w:t>
          </w:r>
          <w:r>
            <w:tab/>
          </w:r>
          <w:r>
            <w:fldChar w:fldCharType="begin"/>
          </w:r>
          <w:r>
            <w:instrText xml:space="preserve"> PAGEREF _Toc192675986 \h </w:instrText>
          </w:r>
          <w:r>
            <w:fldChar w:fldCharType="separate"/>
          </w:r>
          <w:r>
            <w:t>98</w:t>
          </w:r>
          <w:r>
            <w:fldChar w:fldCharType="end"/>
          </w:r>
          <w:r>
            <w:fldChar w:fldCharType="end"/>
          </w:r>
        </w:p>
        <w:p w14:paraId="53F75918">
          <w:pPr>
            <w:pStyle w:val="44"/>
            <w:ind w:firstLine="562"/>
            <w:rPr>
              <w:rFonts w:asciiTheme="minorHAnsi" w:hAnsiTheme="minorHAnsi" w:eastAsiaTheme="minorEastAsia" w:cstheme="minorBidi"/>
              <w:b w:val="0"/>
              <w:bCs w:val="0"/>
              <w:sz w:val="21"/>
              <w:szCs w:val="22"/>
            </w:rPr>
          </w:pPr>
          <w:r>
            <w:fldChar w:fldCharType="begin"/>
          </w:r>
          <w:r>
            <w:instrText xml:space="preserve"> HYPERLINK \l "_Toc192675987" </w:instrText>
          </w:r>
          <w:r>
            <w:fldChar w:fldCharType="separate"/>
          </w:r>
          <w:r>
            <w:rPr>
              <w:rStyle w:val="77"/>
            </w:rPr>
            <w:t>附图1 园区现有企业分布图</w:t>
          </w:r>
          <w:r>
            <w:tab/>
          </w:r>
          <w:r>
            <w:fldChar w:fldCharType="begin"/>
          </w:r>
          <w:r>
            <w:instrText xml:space="preserve"> PAGEREF _Toc192675987 \h </w:instrText>
          </w:r>
          <w:r>
            <w:fldChar w:fldCharType="separate"/>
          </w:r>
          <w:r>
            <w:t>102</w:t>
          </w:r>
          <w:r>
            <w:fldChar w:fldCharType="end"/>
          </w:r>
          <w:r>
            <w:fldChar w:fldCharType="end"/>
          </w:r>
        </w:p>
        <w:p w14:paraId="391CE4FF">
          <w:pPr>
            <w:snapToGrid w:val="0"/>
            <w:ind w:firstLine="562"/>
            <w:rPr>
              <w:color w:val="000000" w:themeColor="text1"/>
              <w14:textFill>
                <w14:solidFill>
                  <w14:schemeClr w14:val="tx1"/>
                </w14:solidFill>
              </w14:textFill>
            </w:rPr>
          </w:pPr>
          <w:r>
            <w:rPr>
              <w:b/>
              <w:color w:val="000000" w:themeColor="text1"/>
              <w:szCs w:val="28"/>
              <w:lang w:val="zh-CN"/>
              <w14:textFill>
                <w14:solidFill>
                  <w14:schemeClr w14:val="tx1"/>
                </w14:solidFill>
              </w14:textFill>
            </w:rPr>
            <w:fldChar w:fldCharType="end"/>
          </w:r>
        </w:p>
      </w:sdtContent>
    </w:sdt>
    <w:p w14:paraId="41096622">
      <w:pPr>
        <w:snapToGrid w:val="0"/>
        <w:ind w:firstLine="560"/>
        <w:rPr>
          <w:rFonts w:eastAsiaTheme="minorEastAsia"/>
          <w:color w:val="000000" w:themeColor="text1"/>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440" w:right="1800" w:bottom="1440" w:left="1800" w:header="851" w:footer="992" w:gutter="0"/>
          <w:pgNumType w:fmt="upperRoman" w:start="1"/>
          <w:cols w:space="425" w:num="1"/>
          <w:titlePg/>
          <w:docGrid w:linePitch="326" w:charSpace="0"/>
        </w:sectPr>
      </w:pPr>
    </w:p>
    <w:p w14:paraId="4C654D3B">
      <w:pPr>
        <w:snapToGrid w:val="0"/>
        <w:ind w:firstLine="0" w:firstLineChars="0"/>
        <w:jc w:val="center"/>
        <w:rPr>
          <w:rFonts w:eastAsia="黑体"/>
          <w:b/>
          <w:color w:val="000000" w:themeColor="text1"/>
          <w:sz w:val="36"/>
          <w:szCs w:val="36"/>
          <w14:textFill>
            <w14:solidFill>
              <w14:schemeClr w14:val="tx1"/>
            </w14:solidFill>
          </w14:textFill>
        </w:rPr>
      </w:pPr>
      <w:r>
        <w:rPr>
          <w:color w:val="000000" w:themeColor="text1"/>
          <w14:textFill>
            <w14:solidFill>
              <w14:schemeClr w14:val="tx1"/>
            </w14:solidFill>
          </w14:textFill>
        </w:rPr>
        <w:t xml:space="preserve"> </w:t>
      </w:r>
      <w:bookmarkStart w:id="1" w:name="_Toc324344788"/>
      <w:r>
        <w:rPr>
          <w:rFonts w:eastAsia="黑体"/>
          <w:b/>
          <w:color w:val="000000" w:themeColor="text1"/>
          <w:sz w:val="36"/>
          <w:szCs w:val="36"/>
          <w14:textFill>
            <w14:solidFill>
              <w14:schemeClr w14:val="tx1"/>
            </w14:solidFill>
          </w14:textFill>
        </w:rPr>
        <w:t>前  言</w:t>
      </w:r>
      <w:bookmarkEnd w:id="1"/>
    </w:p>
    <w:p w14:paraId="25DB2CE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青山区是包头市中心城区，青山区是随着国家“一五、二五”期间一机、北重、二零二等军工企业落地包头建设而后成立的。目前城区常驻人口52万人，行政区域面积280平方公里。包头装备制造产业园区位于包头市青山区北部，是按照自治区、包头市两级党委、政府发展装备制造业的战略部署，于2006年起步建设的自治区级新型特色产业园区。</w:t>
      </w:r>
    </w:p>
    <w:p w14:paraId="091A048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2010年，内蒙古自治区政府将内蒙古包头装备制造产业园区纳入自治区开发区管理，成为自治区级园区。园区经过多年的发展，已形成了重车装备、新能源装备、应急装备、综采装备、机电装备、工程机械装备等六大装备制造产业集群，集聚效应日趋明显。近年来，在巩固和壮大优势特色产业的同时，园区认真贯彻落实市、区两级党委、政府的战略部署，全面推动传统装备制造业转型升级、促进新旧动能转换，形成了新材料、新能源、高端装备为特征的战略性新兴产业集群。先后荣获“全国和谐劳动关系创建示范工业园区”“内蒙古高质量发展重点工业园区”称号。</w:t>
      </w:r>
    </w:p>
    <w:p w14:paraId="65C3D2DF">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先后被命名为“国家包头装备制造高新技术产业化基地”“国家新型工业化产业示范基地”“国家绿色园区”“国家产业转型升级示范园区”“国家应急产业示范基地”，连续4年荣获自治区沿黄沿线经济带优秀园区。</w:t>
      </w:r>
    </w:p>
    <w:p w14:paraId="30C4996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园区基础设施建设较完善。入园企业实现了道路畅通，水、电、天然气等生产要素得到满保障，进而为企业的入驻和发展提供了坚实的保障。</w:t>
      </w:r>
    </w:p>
    <w:p w14:paraId="3AD3ADD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园区的产业定位是以装备制造、新材料、新一代信息技术产业为主导产业，兼顾发展节能环保和资源综合利用产业、商贸物流、研发及生活服务等设施的高新技术产业基地。</w:t>
      </w:r>
    </w:p>
    <w:p w14:paraId="64A98B15">
      <w:pPr>
        <w:pStyle w:val="269"/>
        <w:ind w:firstLine="560"/>
        <w:rPr>
          <w:rFonts w:hint="eastAsia"/>
        </w:rPr>
      </w:pPr>
      <w:r>
        <w:rPr>
          <w:rFonts w:hint="eastAsia"/>
        </w:rPr>
        <w:t>园区划分四大功能区，分别为产业区、中小企业园、教育科研片区、配套服务区</w:t>
      </w:r>
      <w:r>
        <w:rPr>
          <w:rFonts w:hint="eastAsia"/>
          <w:color w:val="000000" w:themeColor="text1"/>
          <w14:textFill>
            <w14:solidFill>
              <w14:schemeClr w14:val="tx1"/>
            </w14:solidFill>
          </w14:textFill>
        </w:rPr>
        <w:t>。</w:t>
      </w:r>
      <w:r>
        <w:rPr>
          <w:rFonts w:hint="eastAsia"/>
        </w:rPr>
        <w:t xml:space="preserve">园区南部的已建区开发利用程度较高，建成的企业以装备制造产业为主，已经形成装备制造产业的聚集区，该区域未来基本以腾笼换鸟的形式引进新企业，企业仍主要以装备制造产业为主；园区北侧的规划区目前以新能源、新材料、装备制造产业为主，已经形成单晶及下游产业、正负极材料产业、碳碳复合材料等新能源、新材料产业，汽车及零部件生产、综采装备、风电装备、光伏支架等装备制造等产业。各产业间相互关联程度较高，园区范围内未规划“两高”产业，污染物排放水平相对较低，产业间相互影响较小； </w:t>
      </w:r>
    </w:p>
    <w:p w14:paraId="667BF61A">
      <w:pPr>
        <w:snapToGrid w:val="0"/>
        <w:ind w:firstLine="56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内蒙古包头装备制造产业园区产业发展规划对于地方经济、科学技术的发展、生活水平的提高以及经济结构的转型皆具有重要意义。</w:t>
      </w:r>
    </w:p>
    <w:p w14:paraId="6093A2A3">
      <w:pPr>
        <w:snapToGrid w:val="0"/>
        <w:ind w:firstLine="560"/>
        <w:rPr>
          <w:rFonts w:hint="eastAsia"/>
          <w:color w:val="000000" w:themeColor="text1"/>
          <w14:textFill>
            <w14:solidFill>
              <w14:schemeClr w14:val="tx1"/>
            </w14:solidFill>
          </w14:textFill>
        </w:rPr>
        <w:sectPr>
          <w:headerReference r:id="rId13" w:type="first"/>
          <w:footerReference r:id="rId16" w:type="first"/>
          <w:headerReference r:id="rId11" w:type="default"/>
          <w:footerReference r:id="rId14" w:type="default"/>
          <w:headerReference r:id="rId12" w:type="even"/>
          <w:footerReference r:id="rId15" w:type="even"/>
          <w:type w:val="continuous"/>
          <w:pgSz w:w="11907" w:h="16840"/>
          <w:pgMar w:top="1440" w:right="1800" w:bottom="1440" w:left="1800" w:header="720" w:footer="720" w:gutter="0"/>
          <w:pgNumType w:fmt="upperRoman" w:start="1"/>
          <w:cols w:space="720" w:num="1"/>
          <w:docGrid w:type="lines" w:linePitch="300" w:charSpace="0"/>
        </w:sectPr>
      </w:pPr>
    </w:p>
    <w:p w14:paraId="1BB23789">
      <w:pPr>
        <w:adjustRightInd w:val="0"/>
        <w:snapToGrid w:val="0"/>
        <w:ind w:firstLine="198" w:firstLineChars="55"/>
        <w:jc w:val="left"/>
        <w:outlineLvl w:val="0"/>
        <w:rPr>
          <w:rFonts w:eastAsia="黑体"/>
          <w:b/>
          <w:color w:val="000000" w:themeColor="text1"/>
          <w:sz w:val="36"/>
          <w:szCs w:val="36"/>
          <w14:textFill>
            <w14:solidFill>
              <w14:schemeClr w14:val="tx1"/>
            </w14:solidFill>
          </w14:textFill>
        </w:rPr>
        <w:sectPr>
          <w:footerReference r:id="rId17" w:type="default"/>
          <w:type w:val="continuous"/>
          <w:pgSz w:w="11907" w:h="16840"/>
          <w:pgMar w:top="1440" w:right="1800" w:bottom="1440" w:left="1800" w:header="851" w:footer="992" w:gutter="0"/>
          <w:pgNumType w:start="1"/>
          <w:cols w:space="720" w:num="1"/>
          <w:docGrid w:type="linesAndChars" w:linePitch="381" w:charSpace="0"/>
        </w:sectPr>
      </w:pPr>
      <w:bookmarkStart w:id="2" w:name="_Toc417157192"/>
      <w:bookmarkStart w:id="3" w:name="_Toc417157111"/>
      <w:bookmarkStart w:id="4" w:name="_Toc417156824"/>
      <w:bookmarkStart w:id="5" w:name="_Toc417156736"/>
      <w:bookmarkStart w:id="6" w:name="_Toc134813135"/>
      <w:bookmarkStart w:id="7" w:name="_Toc134812636"/>
      <w:bookmarkStart w:id="8" w:name="_Toc134813272"/>
      <w:bookmarkStart w:id="9" w:name="_Toc134812998"/>
    </w:p>
    <w:p w14:paraId="491F4539">
      <w:pPr>
        <w:adjustRightInd w:val="0"/>
        <w:snapToGrid w:val="0"/>
        <w:ind w:firstLine="198" w:firstLineChars="55"/>
        <w:jc w:val="left"/>
        <w:outlineLvl w:val="0"/>
        <w:rPr>
          <w:rFonts w:eastAsia="黑体"/>
          <w:b/>
          <w:color w:val="000000" w:themeColor="text1"/>
          <w:sz w:val="36"/>
          <w:szCs w:val="36"/>
          <w14:textFill>
            <w14:solidFill>
              <w14:schemeClr w14:val="tx1"/>
            </w14:solidFill>
          </w14:textFill>
        </w:rPr>
      </w:pPr>
      <w:bookmarkStart w:id="10" w:name="_Toc192675854"/>
      <w:r>
        <w:rPr>
          <w:rFonts w:eastAsia="黑体"/>
          <w:b/>
          <w:color w:val="000000" w:themeColor="text1"/>
          <w:sz w:val="36"/>
          <w:szCs w:val="36"/>
          <w14:textFill>
            <w14:solidFill>
              <w14:schemeClr w14:val="tx1"/>
            </w14:solidFill>
          </w14:textFill>
        </w:rPr>
        <w:t xml:space="preserve">1 </w:t>
      </w:r>
      <w:bookmarkEnd w:id="2"/>
      <w:bookmarkEnd w:id="3"/>
      <w:bookmarkEnd w:id="4"/>
      <w:bookmarkEnd w:id="5"/>
      <w:r>
        <w:rPr>
          <w:rFonts w:eastAsia="黑体"/>
          <w:b/>
          <w:color w:val="000000" w:themeColor="text1"/>
          <w:sz w:val="36"/>
          <w:szCs w:val="36"/>
          <w14:textFill>
            <w14:solidFill>
              <w14:schemeClr w14:val="tx1"/>
            </w14:solidFill>
          </w14:textFill>
        </w:rPr>
        <w:t>总论</w:t>
      </w:r>
      <w:bookmarkEnd w:id="6"/>
      <w:bookmarkEnd w:id="7"/>
      <w:bookmarkEnd w:id="8"/>
      <w:bookmarkEnd w:id="9"/>
      <w:bookmarkEnd w:id="10"/>
    </w:p>
    <w:p w14:paraId="3950D2DE">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11" w:name="_Toc134812999"/>
      <w:bookmarkStart w:id="12" w:name="_Toc417156737"/>
      <w:bookmarkStart w:id="13" w:name="_Toc134812637"/>
      <w:bookmarkStart w:id="14" w:name="_Toc417157193"/>
      <w:bookmarkStart w:id="15" w:name="_Toc134813136"/>
      <w:bookmarkStart w:id="16" w:name="_Toc417157112"/>
      <w:bookmarkStart w:id="17" w:name="_Toc134813273"/>
      <w:bookmarkStart w:id="18" w:name="_Toc417156825"/>
      <w:bookmarkStart w:id="19" w:name="_Toc192675855"/>
      <w:r>
        <w:rPr>
          <w:rFonts w:ascii="Times New Roman" w:hAnsi="Times New Roman" w:eastAsia="黑体"/>
          <w:b/>
          <w:color w:val="000000" w:themeColor="text1"/>
          <w:sz w:val="30"/>
          <w:szCs w:val="30"/>
          <w14:textFill>
            <w14:solidFill>
              <w14:schemeClr w14:val="tx1"/>
            </w14:solidFill>
          </w14:textFill>
        </w:rPr>
        <w:t>规划背景</w:t>
      </w:r>
      <w:bookmarkEnd w:id="11"/>
      <w:bookmarkEnd w:id="12"/>
      <w:bookmarkEnd w:id="13"/>
      <w:bookmarkEnd w:id="14"/>
      <w:bookmarkEnd w:id="15"/>
      <w:bookmarkEnd w:id="16"/>
      <w:bookmarkEnd w:id="17"/>
      <w:bookmarkEnd w:id="18"/>
      <w:bookmarkEnd w:id="19"/>
    </w:p>
    <w:p w14:paraId="1E1EFD7F">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内蒙古包头装备制造产业园区位于包头市区北侧，是国家新型工业化产业园区和我国中西部地区重要的装备制造业园区，是以装备制造为主导产业，设施配套完善的自治区级产业园区。</w:t>
      </w:r>
    </w:p>
    <w:p w14:paraId="2CF48B4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2012年，内蒙古自治区人民政府审批通过了《内蒙古包头装备制造产业基地总体规划》（2012~2020），该规划对装备园区的建设和发展起到了至关重要的引领和调控作用。2016年12月，内蒙古自治区住房和城乡建设厅批复了《内蒙古包头装备制造产业基地总体规划》（2016~2020）（内建规【2016】482号）。</w:t>
      </w:r>
    </w:p>
    <w:p w14:paraId="34C6A3D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内蒙古包头装备制造产业园区（下称“园区”）作为自治区级开发区，既是承接自治区及包头市产业分工和青山区发展区域经济的主要载体，又是推动对外开放、区域协作、科技创新、创业就业的重要功能性平台，落实国家、自治区、包头市和青山区“十四五”规划确定的最新发展战略和功能定位是产业园发展的重点战略方向，更是承载“十四五”规划重大项目的主要平台。但是，面对我国进入高质量发展阶段后一系列理念、新要求、新格局等方面的新变化和发展战略、调控政策的新调整，产业园现行规划确定的产业体系和发展方向已经出现了一些与国家和自治区经济政策、上位规划和经济发展趋势不相适应的地方，如园区空间格局与主体功能区政策存在冲突，发展新格局的演变导致规划的立意与新发展理念贯彻不够问题，规划确定的部分产业和发展方向与当下倡导的生态优先、绿色环保、质量第一、效率优先等高质量发展要求不相适应的问题，一些规划产业门类的市场环境、竞争环境、技术方向已经发生重大变化，造成规划项目难以实施问题，一些招商引资及园区管理措施与最新的政策要求存在冲突问题，新能源等具有比较优势的资源开发利用不够等等。必须围绕落实国家、自治区、包头市、青山区“十四五”规划的一系列新理念、新要求、新战略、新政策和新举措，与时俱进地对产业园的空间格局进行优化，对产业体系和发展方向重新谋划。为了加快内蒙古包头装备制造产业园区的工业发展步伐，实现园区“高起点规划、发展循环经济、滚动式开发、跨越式发展”的思路，确保园区开发工作顺利有序的进行，确保园区功能与空间的完整性和滚动开发的可持续性，面对新的形势和发展机遇，为了给内蒙古包头装备制造产业园区经济发展打造一个更高水平的产业平台，包头市青山区人民政府和内蒙古包头装备制造产业园区管委会决定对内蒙古包头装备制造产业园区产业发展规划进行修编，并委托中冶西北工程技术有限公司编制《包头装备制造产业园区产业发展规划2024-2035年）》，以期科学谋划园区的发展思路、发展战略、产业体系、推进措施等重大问题，为指导园区科学发展提供依据。</w:t>
      </w:r>
      <w:bookmarkStart w:id="20" w:name="_Toc417156826"/>
      <w:bookmarkStart w:id="21" w:name="_Toc417157194"/>
      <w:bookmarkStart w:id="22" w:name="_Toc417156738"/>
      <w:bookmarkStart w:id="23" w:name="_Toc417157113"/>
    </w:p>
    <w:p w14:paraId="6888E819">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24" w:name="_Toc134813000"/>
      <w:bookmarkStart w:id="25" w:name="_Toc134813274"/>
      <w:bookmarkStart w:id="26" w:name="_Toc134813137"/>
      <w:bookmarkStart w:id="27" w:name="_Toc134812638"/>
      <w:bookmarkStart w:id="28" w:name="_Toc192675856"/>
      <w:r>
        <w:rPr>
          <w:rFonts w:ascii="Times New Roman" w:hAnsi="Times New Roman" w:eastAsia="黑体"/>
          <w:b/>
          <w:color w:val="000000" w:themeColor="text1"/>
          <w:sz w:val="30"/>
          <w:szCs w:val="30"/>
          <w14:textFill>
            <w14:solidFill>
              <w14:schemeClr w14:val="tx1"/>
            </w14:solidFill>
          </w14:textFill>
        </w:rPr>
        <w:t>规划原则</w:t>
      </w:r>
      <w:bookmarkEnd w:id="20"/>
      <w:bookmarkEnd w:id="21"/>
      <w:bookmarkEnd w:id="22"/>
      <w:bookmarkEnd w:id="23"/>
      <w:bookmarkEnd w:id="24"/>
      <w:bookmarkEnd w:id="25"/>
      <w:bookmarkEnd w:id="26"/>
      <w:bookmarkEnd w:id="27"/>
      <w:bookmarkEnd w:id="28"/>
    </w:p>
    <w:p w14:paraId="4051F90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（1）坚持结构调整、产业升级</w:t>
      </w:r>
    </w:p>
    <w:p w14:paraId="2C03D90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产业发展规划，要符合国家产业发展战略，符合包头市经济产业结构调整需求，符合国家和地方相关投资政策、产业政策、环保政策。体现技术进步要求，加快淘汰落后产能，调整产业结构；按照市场原则优化配置生产要素，以推进技术进步为依托，对落后技术和工艺进行改造或淘汰，积极培育战略性新型产业，加快产业升级步伐。</w:t>
      </w:r>
    </w:p>
    <w:p w14:paraId="7CB79B7C">
      <w:pPr>
        <w:snapToGrid w:val="0"/>
        <w:ind w:firstLine="560"/>
        <w:rPr>
          <w:rFonts w:hint="eastAsia"/>
          <w:color w:val="000000" w:themeColor="text1"/>
          <w14:textFill>
            <w14:solidFill>
              <w14:schemeClr w14:val="tx1"/>
            </w14:solidFill>
          </w14:textFill>
        </w:rPr>
      </w:pPr>
      <w:r>
        <w:rPr>
          <w:color w:val="000000" w:themeColor="text1"/>
          <w14:textFill>
            <w14:solidFill>
              <w14:schemeClr w14:val="tx1"/>
            </w14:solidFill>
          </w14:textFill>
        </w:rPr>
        <w:t>园区引进的项目以国家产业政策和行业规划为指导，符合高起点、高收益、低物耗、低污染的要求，严格准入门槛，避免土地、水等各种资源的浪费，保证园区健康、可持续发展。</w:t>
      </w:r>
    </w:p>
    <w:p w14:paraId="15C224E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（2）坚持突出特色、合理定位的原则</w:t>
      </w:r>
    </w:p>
    <w:p w14:paraId="5C031E7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立足内蒙古包头装备制造产业园区的区位条件、工业基础及资源特色，充分发挥装备制造产业园区现有产业特点、区位优势和发展潜力，控制和引导相结合，推动优势资源和要素向装备制造产业园区集中，合理确定区域功能和产业发展方向，突出特色，错位发展，差异化竞争，提高工业园区综合实力，创造协同共赢的发展新格局。</w:t>
      </w:r>
    </w:p>
    <w:p w14:paraId="52530368">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（3）坚持前瞻性、可操作性兼顾的原则</w:t>
      </w:r>
    </w:p>
    <w:p w14:paraId="3E40BF3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在实际调研的基础上，对装备制造产业园区的未来发展做出战略性、前瞻性预测，从宏观上制定出具有科学性、指导性和可操作性的产业规划，并与工业园区总体规划、城市规划相衔接，为内蒙古包头装备制造产业园区建设的顺利进行提供有力的支撑。</w:t>
      </w:r>
    </w:p>
    <w:p w14:paraId="113F2294">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（4）坚持生态保护、循环发展的原则</w:t>
      </w:r>
    </w:p>
    <w:p w14:paraId="3D47522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树立循环经济发展理念，坚持从源头上节约资源、减少或消除污染物排放，综合利用各种资源，提高资源利用效率，以更少的资源消耗获得更大的经济效益，实现经济的可持续发展，达到人与自然的和谐发展。</w:t>
      </w:r>
    </w:p>
    <w:p w14:paraId="460AD36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（5）坚持项目带动、集约发展的原则</w:t>
      </w:r>
    </w:p>
    <w:p w14:paraId="0B020026">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遵循产业发展规律，以大项目建设为带动，优化和调整产业结构和生产力布局，强化产业集约化、规模化发展；通过优势产业集中布局、集聚发展，推动企业精干主体、分离辅助，建立成链闭环发展的循环经济发展模式，有效保护环境，实现资源节约利用、综合利用、循环利用，推进工业发展方式转变，强化集约节约用地。</w:t>
      </w:r>
      <w:bookmarkStart w:id="29" w:name="_Toc417157114"/>
      <w:bookmarkStart w:id="30" w:name="_Toc417156827"/>
      <w:bookmarkStart w:id="31" w:name="_Toc417156739"/>
      <w:bookmarkStart w:id="32" w:name="_Toc417157195"/>
    </w:p>
    <w:p w14:paraId="07BB75CE">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33" w:name="_Toc134813275"/>
      <w:bookmarkStart w:id="34" w:name="_Toc134813001"/>
      <w:bookmarkStart w:id="35" w:name="_Toc134813138"/>
      <w:bookmarkStart w:id="36" w:name="_Toc192675857"/>
      <w:bookmarkStart w:id="37" w:name="_Toc134812639"/>
      <w:r>
        <w:rPr>
          <w:rFonts w:ascii="Times New Roman" w:hAnsi="Times New Roman" w:eastAsia="黑体"/>
          <w:b/>
          <w:color w:val="000000" w:themeColor="text1"/>
          <w:sz w:val="30"/>
          <w:szCs w:val="30"/>
          <w14:textFill>
            <w14:solidFill>
              <w14:schemeClr w14:val="tx1"/>
            </w14:solidFill>
          </w14:textFill>
        </w:rPr>
        <w:t>规划范围</w:t>
      </w:r>
      <w:bookmarkEnd w:id="33"/>
      <w:bookmarkEnd w:id="34"/>
      <w:bookmarkEnd w:id="35"/>
      <w:bookmarkEnd w:id="36"/>
      <w:bookmarkEnd w:id="37"/>
    </w:p>
    <w:p w14:paraId="262F51F6">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装备园区范围包括赛汉路以东，建华路以西，羊山窑村以南，青山路以北的已建区：京新高速（京藏高速）公路以北，210 国道以西，青大公路以南及周边区域的规划区，总面积 25.58 平方公里。</w:t>
      </w:r>
    </w:p>
    <w:p w14:paraId="18B552C3">
      <w:pPr>
        <w:adjustRightInd w:val="0"/>
        <w:snapToGrid w:val="0"/>
        <w:spacing w:line="420" w:lineRule="auto"/>
        <w:ind w:firstLine="0" w:firstLineChars="0"/>
        <w:jc w:val="center"/>
        <w:rPr>
          <w:b/>
          <w:color w:val="000000" w:themeColor="text1"/>
          <w14:textFill>
            <w14:solidFill>
              <w14:schemeClr w14:val="tx1"/>
            </w14:solidFill>
          </w14:textFill>
        </w:rPr>
      </w:pPr>
      <w:r>
        <w:rPr>
          <w:b/>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1858645</wp:posOffset>
                </wp:positionH>
                <wp:positionV relativeFrom="paragraph">
                  <wp:posOffset>4606290</wp:posOffset>
                </wp:positionV>
                <wp:extent cx="733425" cy="1561465"/>
                <wp:effectExtent l="0" t="0" r="67310" b="58420"/>
                <wp:wrapNone/>
                <wp:docPr id="4" name="直接箭头连接符 4"/>
                <wp:cNvGraphicFramePr/>
                <a:graphic xmlns:a="http://schemas.openxmlformats.org/drawingml/2006/main">
                  <a:graphicData uri="http://schemas.microsoft.com/office/word/2010/wordprocessingShape">
                    <wps:wsp>
                      <wps:cNvCnPr/>
                      <wps:spPr>
                        <a:xfrm>
                          <a:off x="0" y="0"/>
                          <a:ext cx="733246" cy="156138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6.35pt;margin-top:362.7pt;height:122.95pt;width:57.75pt;z-index:251659264;mso-width-relative:page;mso-height-relative:page;" filled="f" stroked="t" coordsize="21600,21600" o:gfxdata="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3YrLdsAAAALAQAADwAAAAAAAAABACAAAAAiAAAAZHJz&#10;L2Rvd25yZXYueG1sUEsBAhQAFAAAAAgAh07iQI3UU+EBAgAAzwMAAA4AAAAAAAAAAQAgAAAAKgEA&#10;AGRycy9lMm9Eb2MueG1sUEsFBgAAAAAGAAYAWQEAAJ0FAAAAAA==&#10;">
                <v:fill on="f" focussize="0,0"/>
                <v:stroke color="#FF0000 [3204]" joinstyle="round" endarrow="block"/>
                <v:imagedata o:title=""/>
                <o:lock v:ext="edit" aspectratio="f"/>
              </v:shape>
            </w:pict>
          </mc:Fallback>
        </mc:AlternateContent>
      </w:r>
      <w:r>
        <w:rPr>
          <w:b/>
          <w:color w:val="000000" w:themeColor="text1"/>
          <w14:textFill>
            <w14:solidFill>
              <w14:schemeClr w14:val="tx1"/>
            </w14:solidFill>
          </w14:textFill>
        </w:rPr>
        <w:drawing>
          <wp:inline distT="0" distB="0" distL="0" distR="0">
            <wp:extent cx="4228465" cy="8444865"/>
            <wp:effectExtent l="0" t="0" r="0" b="6985"/>
            <wp:docPr id="1" name="图片 1" descr="E:\Desktop\包头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Desktop\包头市.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228930" cy="8445260"/>
                    </a:xfrm>
                    <a:prstGeom prst="rect">
                      <a:avLst/>
                    </a:prstGeom>
                    <a:noFill/>
                    <a:ln>
                      <a:noFill/>
                    </a:ln>
                  </pic:spPr>
                </pic:pic>
              </a:graphicData>
            </a:graphic>
          </wp:inline>
        </w:drawing>
      </w:r>
    </w:p>
    <w:p w14:paraId="7C39738F">
      <w:pPr>
        <w:adjustRightInd w:val="0"/>
        <w:snapToGrid w:val="0"/>
        <w:spacing w:line="240" w:lineRule="auto"/>
        <w:ind w:firstLine="482"/>
        <w:jc w:val="center"/>
        <w:rPr>
          <w:rFonts w:eastAsia="黑体"/>
          <w:b/>
          <w:color w:val="000000" w:themeColor="text1"/>
          <w:sz w:val="30"/>
          <w:szCs w:val="30"/>
          <w14:textFill>
            <w14:solidFill>
              <w14:schemeClr w14:val="tx1"/>
            </w14:solidFill>
          </w14:textFill>
        </w:rPr>
      </w:pPr>
      <w:r>
        <w:rPr>
          <w:b/>
          <w:color w:val="000000" w:themeColor="text1"/>
          <w:sz w:val="24"/>
          <w14:textFill>
            <w14:solidFill>
              <w14:schemeClr w14:val="tx1"/>
            </w14:solidFill>
          </w14:textFill>
        </w:rPr>
        <w:t>图1-1   包头装备制造产业园区地理位置图</w:t>
      </w:r>
      <w:bookmarkStart w:id="38" w:name="_Toc134812640"/>
      <w:bookmarkStart w:id="39" w:name="_Toc134813276"/>
      <w:bookmarkStart w:id="40" w:name="_Toc134813139"/>
      <w:bookmarkStart w:id="41" w:name="_Toc134813002"/>
    </w:p>
    <w:p w14:paraId="3C650CFA">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42" w:name="_Toc192675858"/>
      <w:r>
        <w:rPr>
          <w:rFonts w:ascii="Times New Roman" w:hAnsi="Times New Roman" w:eastAsia="黑体"/>
          <w:b/>
          <w:color w:val="000000" w:themeColor="text1"/>
          <w:sz w:val="30"/>
          <w:szCs w:val="30"/>
          <w14:textFill>
            <w14:solidFill>
              <w14:schemeClr w14:val="tx1"/>
            </w14:solidFill>
          </w14:textFill>
        </w:rPr>
        <w:t>规划期限</w:t>
      </w:r>
      <w:bookmarkEnd w:id="29"/>
      <w:bookmarkEnd w:id="30"/>
      <w:bookmarkEnd w:id="31"/>
      <w:bookmarkEnd w:id="32"/>
      <w:bookmarkEnd w:id="38"/>
      <w:bookmarkEnd w:id="39"/>
      <w:bookmarkEnd w:id="40"/>
      <w:bookmarkEnd w:id="41"/>
      <w:bookmarkEnd w:id="42"/>
    </w:p>
    <w:p w14:paraId="05640DC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根据国家、自治区、包头市对工业园区发展的政策指导，按照可持续发展的理念要求，充分考虑工业园区各项发展条件，以能主动适应工业园区长远发展为目标，规划期限为2024-2035年，近期：2024-2030年；远期：2030-2035年。</w:t>
      </w:r>
    </w:p>
    <w:p w14:paraId="70A11E40">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43" w:name="_Toc417156740"/>
      <w:bookmarkStart w:id="44" w:name="_Toc134813003"/>
      <w:bookmarkStart w:id="45" w:name="_Toc134813140"/>
      <w:bookmarkStart w:id="46" w:name="_Toc192675859"/>
      <w:bookmarkStart w:id="47" w:name="_Toc417157196"/>
      <w:bookmarkStart w:id="48" w:name="_Toc134813277"/>
      <w:bookmarkStart w:id="49" w:name="_Toc417157115"/>
      <w:bookmarkStart w:id="50" w:name="_Toc134812641"/>
      <w:bookmarkStart w:id="51" w:name="_Toc417156828"/>
      <w:r>
        <w:rPr>
          <w:rFonts w:ascii="Times New Roman" w:hAnsi="Times New Roman" w:eastAsia="黑体"/>
          <w:b/>
          <w:color w:val="000000" w:themeColor="text1"/>
          <w:sz w:val="30"/>
          <w:szCs w:val="30"/>
          <w14:textFill>
            <w14:solidFill>
              <w14:schemeClr w14:val="tx1"/>
            </w14:solidFill>
          </w14:textFill>
        </w:rPr>
        <w:t>规划依据</w:t>
      </w:r>
      <w:bookmarkEnd w:id="43"/>
      <w:bookmarkEnd w:id="44"/>
      <w:bookmarkEnd w:id="45"/>
      <w:bookmarkEnd w:id="46"/>
      <w:bookmarkEnd w:id="47"/>
      <w:bookmarkEnd w:id="48"/>
      <w:bookmarkEnd w:id="49"/>
      <w:bookmarkEnd w:id="50"/>
      <w:bookmarkEnd w:id="51"/>
    </w:p>
    <w:p w14:paraId="3208F320">
      <w:pPr>
        <w:adjustRightInd w:val="0"/>
        <w:snapToGrid w:val="0"/>
        <w:spacing w:line="396" w:lineRule="auto"/>
        <w:ind w:firstLine="562"/>
        <w:jc w:val="left"/>
        <w:rPr>
          <w:b/>
          <w:color w:val="000000" w:themeColor="text1"/>
          <w:szCs w:val="28"/>
          <w14:textFill>
            <w14:solidFill>
              <w14:schemeClr w14:val="tx1"/>
            </w14:solidFill>
          </w14:textFill>
        </w:rPr>
      </w:pPr>
      <w:r>
        <w:rPr>
          <w:b/>
          <w:color w:val="000000" w:themeColor="text1"/>
          <w:szCs w:val="28"/>
          <w14:textFill>
            <w14:solidFill>
              <w14:schemeClr w14:val="tx1"/>
            </w14:solidFill>
          </w14:textFill>
        </w:rPr>
        <w:t>1.5.1 国家法律、法规、标准</w:t>
      </w:r>
    </w:p>
    <w:p w14:paraId="21C81FC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（1）《中华人民共和国城乡规划法》（2019 年修正）；</w:t>
      </w:r>
    </w:p>
    <w:p w14:paraId="7AE5A5E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（2）《中华人民共和国土地管理法》（2019 年 8 月第三次修正）；</w:t>
      </w:r>
    </w:p>
    <w:p w14:paraId="66C991BD">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（3）《中华人民共和国循环经济促进法》（2018 年修正）；</w:t>
      </w:r>
    </w:p>
    <w:p w14:paraId="0165EBC4">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（4）《中华人民共和国环境保护法》（2015 年修订）；</w:t>
      </w:r>
    </w:p>
    <w:p w14:paraId="25214E3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（5）《中华人民共和国水法》（2016 年修正）；</w:t>
      </w:r>
    </w:p>
    <w:p w14:paraId="2D579DD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（6）《中华人民共和国节约能源法》（2018 年修正）；</w:t>
      </w:r>
    </w:p>
    <w:p w14:paraId="76F811F8">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（7）《中华人民共和国清洁生产促进法》（2012 年修正）；</w:t>
      </w:r>
    </w:p>
    <w:p w14:paraId="5D6F8C8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（8）《城市规划编制办法》（2005 年建设部令第 146 号）；</w:t>
      </w:r>
    </w:p>
    <w:p w14:paraId="6DF0A6F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（9）《工业项目建设用地控制指标》（自然资源部 2023 年修订）；</w:t>
      </w:r>
    </w:p>
    <w:p w14:paraId="2E1D91C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（10）《城市用地分类和规划建设用地标准》（GB50137-2011）；</w:t>
      </w:r>
    </w:p>
    <w:p w14:paraId="3E7B94D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（11）《生态工业园区建设规划编制指南》（HJ/T409-2007）。</w:t>
      </w:r>
    </w:p>
    <w:p w14:paraId="194EE1FE">
      <w:pPr>
        <w:adjustRightInd w:val="0"/>
        <w:snapToGrid w:val="0"/>
        <w:spacing w:line="396" w:lineRule="auto"/>
        <w:ind w:firstLine="562"/>
        <w:jc w:val="left"/>
        <w:rPr>
          <w:b/>
          <w:color w:val="000000" w:themeColor="text1"/>
          <w:szCs w:val="28"/>
          <w14:textFill>
            <w14:solidFill>
              <w14:schemeClr w14:val="tx1"/>
            </w14:solidFill>
          </w14:textFill>
        </w:rPr>
      </w:pPr>
      <w:r>
        <w:rPr>
          <w:b/>
          <w:color w:val="000000" w:themeColor="text1"/>
          <w:szCs w:val="28"/>
          <w14:textFill>
            <w14:solidFill>
              <w14:schemeClr w14:val="tx1"/>
            </w14:solidFill>
          </w14:textFill>
        </w:rPr>
        <w:t>1.5.2 国家相关文件及行业规范、准入条件</w:t>
      </w:r>
    </w:p>
    <w:p w14:paraId="267B57A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（1）《关于促进制造业有序转移的指导意见》（工信部联政法〔2021〕225 号）；</w:t>
      </w:r>
    </w:p>
    <w:p w14:paraId="5E60275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（2）《工业和信息化部关于进一步促进产业集群发展的指导意见》（工信部企业[2015]236 号）；</w:t>
      </w:r>
    </w:p>
    <w:p w14:paraId="236A454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（3）《工业战略性新兴产业分类》（2024 年版）；</w:t>
      </w:r>
    </w:p>
    <w:p w14:paraId="0D2790F8">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（4）《产业结构调整指导目录（2024 年本）》（国家发展改革委令 2023年第 7 号）；</w:t>
      </w:r>
    </w:p>
    <w:p w14:paraId="1D5D6834">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（5）《国务院办公厅关于促进开发区改革和创新发展的若干意见》（国办发〔2017〕7 号）；</w:t>
      </w:r>
    </w:p>
    <w:p w14:paraId="305EF63F">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（6）《部分工业行业淘汰落后生产工艺装备和产品指导目录》（2016年本）；</w:t>
      </w:r>
    </w:p>
    <w:p w14:paraId="329E222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（7）《中西部地区外商投资优势产业目录》（2017 年修订）；</w:t>
      </w:r>
    </w:p>
    <w:p w14:paraId="57BEC26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（8）《西部地区鼓励类产业目录（2025 年本）》（国家发展改革委令 2024  年第 28 号）；</w:t>
      </w:r>
    </w:p>
    <w:p w14:paraId="79A3ED9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（9）《国务院关于加快建立健全绿色低碳循环发展经济体系的指导意见》（国发〔2021〕4 号）；</w:t>
      </w:r>
    </w:p>
    <w:p w14:paraId="6AC7BCC8">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（10）《“十四五”节能减排综合工作方案》（国发〔2021〕33 号）；</w:t>
      </w:r>
    </w:p>
    <w:p w14:paraId="1533EC9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（11）《“十四五”信息化和工业化深度融合发展规划》（工信部规〔2021〕182 号）；</w:t>
      </w:r>
    </w:p>
    <w:p w14:paraId="6FE2BA92">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（12）《“十四五”工业绿色发展规划》（工信部规〔2021〕178 号）；</w:t>
      </w:r>
    </w:p>
    <w:p w14:paraId="5158326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（13）《中华人民共和国国民经济和社会发展第十四个五年规划和2035年远景目标纲要》；</w:t>
      </w:r>
    </w:p>
    <w:p w14:paraId="21CD7F9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（14）《关于深入推进黄河流域工业绿色发展的指导意见》（工信部联节〔2022〕169 号）；</w:t>
      </w:r>
    </w:p>
    <w:p w14:paraId="242CFDDF">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（15）《国务院关于推动内蒙古高质量发展奋力书写中国式现代化新篇章的意见》（国发〔2023〕16 号）；</w:t>
      </w:r>
    </w:p>
    <w:p w14:paraId="106CB946">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（16）《光伏制造行业规范条件（2024 年本）》；</w:t>
      </w:r>
    </w:p>
    <w:p w14:paraId="53CAF14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（17）《“十四五”国家科技创新规划》；</w:t>
      </w:r>
    </w:p>
    <w:p w14:paraId="17E09F6B">
      <w:pPr>
        <w:adjustRightInd w:val="0"/>
        <w:snapToGrid w:val="0"/>
        <w:spacing w:line="396" w:lineRule="auto"/>
        <w:ind w:firstLine="562"/>
        <w:jc w:val="left"/>
        <w:rPr>
          <w:b/>
          <w:color w:val="000000" w:themeColor="text1"/>
          <w:szCs w:val="28"/>
          <w14:textFill>
            <w14:solidFill>
              <w14:schemeClr w14:val="tx1"/>
            </w14:solidFill>
          </w14:textFill>
        </w:rPr>
      </w:pPr>
      <w:r>
        <w:rPr>
          <w:b/>
          <w:color w:val="000000" w:themeColor="text1"/>
          <w:szCs w:val="28"/>
          <w14:textFill>
            <w14:solidFill>
              <w14:schemeClr w14:val="tx1"/>
            </w14:solidFill>
          </w14:textFill>
        </w:rPr>
        <w:t>1.5.3 地方文件</w:t>
      </w:r>
    </w:p>
    <w:p w14:paraId="50E51C2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（1）《内蒙古自治区国民经济和社会发展第十四个五年规划和2035年远景目标纲要》；</w:t>
      </w:r>
    </w:p>
    <w:p w14:paraId="74213076">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（2）《内蒙古自治区新材料产业高质量发展方案（2021-2025）》</w:t>
      </w:r>
    </w:p>
    <w:p w14:paraId="30B0084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（3）《内蒙古自治区人民政府关于促进工业园区健康发展的指导意见》（内政发〔2015〕126号）；</w:t>
      </w:r>
    </w:p>
    <w:p w14:paraId="428455FD">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（4）《内蒙古自治区人民政府关于促进工业园区高质量发展的若干意见》（内政发〔2019〕21号）；</w:t>
      </w:r>
    </w:p>
    <w:p w14:paraId="52BCC284">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（5）《包头市国土空间总体规划》（2021—2035年）</w:t>
      </w:r>
    </w:p>
    <w:p w14:paraId="56CB4552">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（6）《包头市工业园区中长期发展规划（2014~2030年）》（2014年6月）；</w:t>
      </w:r>
    </w:p>
    <w:p w14:paraId="34C2961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（7）《包头市国民经济和社会发展第十四个五年规划和2035年远景目标纲要》；</w:t>
      </w:r>
    </w:p>
    <w:p w14:paraId="3D7AAD4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（8）《包头市新材料产业“十四五”发展规划》；</w:t>
      </w:r>
    </w:p>
    <w:p w14:paraId="07E1B38F">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（9）内蒙古自治区新能源装备制造业高质量发展实施方案（2021—2025年）</w:t>
      </w:r>
    </w:p>
    <w:p w14:paraId="62C8E316">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（10）《青山区国民经济和社会发展第十四个五年规划和2035年远景目标纲要》；</w:t>
      </w:r>
    </w:p>
    <w:p w14:paraId="2C3A1016">
      <w:pPr>
        <w:adjustRightInd w:val="0"/>
        <w:snapToGrid w:val="0"/>
        <w:spacing w:line="396" w:lineRule="auto"/>
        <w:ind w:firstLine="562"/>
        <w:jc w:val="left"/>
        <w:rPr>
          <w:b/>
          <w:color w:val="000000" w:themeColor="text1"/>
          <w:szCs w:val="28"/>
          <w14:textFill>
            <w14:solidFill>
              <w14:schemeClr w14:val="tx1"/>
            </w14:solidFill>
          </w14:textFill>
        </w:rPr>
      </w:pPr>
      <w:r>
        <w:rPr>
          <w:b/>
          <w:color w:val="000000" w:themeColor="text1"/>
          <w:szCs w:val="28"/>
          <w14:textFill>
            <w14:solidFill>
              <w14:schemeClr w14:val="tx1"/>
            </w14:solidFill>
          </w14:textFill>
        </w:rPr>
        <w:t>1.5.4 其它</w:t>
      </w:r>
    </w:p>
    <w:p w14:paraId="1ADFC4A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（1）包头装备制造产业园区管委会提供的相关资料及统计数据。</w:t>
      </w:r>
    </w:p>
    <w:p w14:paraId="1D031301">
      <w:pPr>
        <w:adjustRightInd w:val="0"/>
        <w:snapToGrid w:val="0"/>
        <w:ind w:firstLine="198" w:firstLineChars="71"/>
        <w:jc w:val="left"/>
        <w:outlineLvl w:val="0"/>
        <w:rPr>
          <w:rFonts w:eastAsia="黑体"/>
          <w:b/>
          <w:color w:val="000000" w:themeColor="text1"/>
          <w:sz w:val="36"/>
          <w:szCs w:val="36"/>
          <w14:textFill>
            <w14:solidFill>
              <w14:schemeClr w14:val="tx1"/>
            </w14:solidFill>
          </w14:textFill>
        </w:rPr>
      </w:pPr>
      <w:r>
        <w:rPr>
          <w:color w:val="000000" w:themeColor="text1"/>
          <w:szCs w:val="28"/>
          <w14:textFill>
            <w14:solidFill>
              <w14:schemeClr w14:val="tx1"/>
            </w14:solidFill>
          </w14:textFill>
        </w:rPr>
        <w:br w:type="page"/>
      </w:r>
      <w:bookmarkStart w:id="52" w:name="_Toc134813004"/>
      <w:bookmarkStart w:id="53" w:name="_Toc192675860"/>
      <w:bookmarkStart w:id="54" w:name="_Toc134812642"/>
      <w:bookmarkStart w:id="55" w:name="_Toc134813141"/>
      <w:bookmarkStart w:id="56" w:name="_Toc134813278"/>
      <w:r>
        <w:rPr>
          <w:rFonts w:eastAsia="黑体"/>
          <w:b/>
          <w:color w:val="000000" w:themeColor="text1"/>
          <w:sz w:val="36"/>
          <w:szCs w:val="36"/>
          <w14:textFill>
            <w14:solidFill>
              <w14:schemeClr w14:val="tx1"/>
            </w14:solidFill>
          </w14:textFill>
        </w:rPr>
        <w:t>2 发展条件和基础</w:t>
      </w:r>
      <w:bookmarkEnd w:id="52"/>
      <w:bookmarkEnd w:id="53"/>
      <w:bookmarkEnd w:id="54"/>
      <w:bookmarkEnd w:id="55"/>
      <w:bookmarkEnd w:id="56"/>
    </w:p>
    <w:p w14:paraId="68BBACF4">
      <w:pPr>
        <w:pStyle w:val="97"/>
        <w:numPr>
          <w:ilvl w:val="0"/>
          <w:numId w:val="4"/>
        </w:numPr>
        <w:adjustRightInd w:val="0"/>
        <w:snapToGrid w:val="0"/>
        <w:ind w:firstLineChars="0"/>
        <w:outlineLvl w:val="1"/>
        <w:rPr>
          <w:rFonts w:ascii="Times New Roman" w:hAnsi="Times New Roman" w:eastAsia="黑体"/>
          <w:b/>
          <w:vanish/>
          <w:color w:val="000000" w:themeColor="text1"/>
          <w:sz w:val="30"/>
          <w:szCs w:val="30"/>
          <w14:textFill>
            <w14:solidFill>
              <w14:schemeClr w14:val="tx1"/>
            </w14:solidFill>
          </w14:textFill>
        </w:rPr>
      </w:pPr>
      <w:bookmarkStart w:id="57" w:name="_Toc145341165"/>
      <w:bookmarkEnd w:id="57"/>
      <w:bookmarkStart w:id="58" w:name="_Toc161132219"/>
      <w:bookmarkEnd w:id="58"/>
      <w:bookmarkStart w:id="59" w:name="_Toc190952782"/>
      <w:bookmarkEnd w:id="59"/>
      <w:bookmarkStart w:id="60" w:name="_Toc134812643"/>
      <w:bookmarkEnd w:id="60"/>
      <w:bookmarkStart w:id="61" w:name="_Toc134812785"/>
      <w:bookmarkEnd w:id="61"/>
      <w:bookmarkStart w:id="62" w:name="_Toc134813142"/>
      <w:bookmarkEnd w:id="62"/>
      <w:bookmarkStart w:id="63" w:name="_Toc156552979"/>
      <w:bookmarkEnd w:id="63"/>
      <w:bookmarkStart w:id="64" w:name="_Toc186205211"/>
      <w:bookmarkEnd w:id="64"/>
      <w:bookmarkStart w:id="65" w:name="_Toc159406687"/>
      <w:bookmarkEnd w:id="65"/>
      <w:bookmarkStart w:id="66" w:name="_Toc150947901"/>
      <w:bookmarkEnd w:id="66"/>
      <w:bookmarkStart w:id="67" w:name="_Toc182320624"/>
      <w:bookmarkEnd w:id="67"/>
      <w:bookmarkStart w:id="68" w:name="_Toc134813279"/>
      <w:bookmarkEnd w:id="68"/>
      <w:bookmarkStart w:id="69" w:name="_Toc161133059"/>
      <w:bookmarkEnd w:id="69"/>
      <w:bookmarkStart w:id="70" w:name="_Toc145344410"/>
      <w:bookmarkEnd w:id="70"/>
      <w:bookmarkStart w:id="71" w:name="_Toc144211254"/>
      <w:bookmarkEnd w:id="71"/>
      <w:bookmarkStart w:id="72" w:name="_Toc156553609"/>
      <w:bookmarkEnd w:id="72"/>
      <w:bookmarkStart w:id="73" w:name="_Toc148367023"/>
      <w:bookmarkEnd w:id="73"/>
      <w:bookmarkStart w:id="74" w:name="_Toc134813713"/>
      <w:bookmarkEnd w:id="74"/>
      <w:bookmarkStart w:id="75" w:name="_Toc162446259"/>
      <w:bookmarkEnd w:id="75"/>
      <w:bookmarkStart w:id="76" w:name="_Toc192675861"/>
      <w:bookmarkEnd w:id="76"/>
      <w:bookmarkStart w:id="77" w:name="_Toc134813005"/>
      <w:bookmarkEnd w:id="77"/>
      <w:bookmarkStart w:id="78" w:name="_Toc190952231"/>
      <w:bookmarkEnd w:id="78"/>
      <w:bookmarkStart w:id="79" w:name="_Toc417157116"/>
      <w:bookmarkStart w:id="80" w:name="_Toc417156829"/>
      <w:bookmarkStart w:id="81" w:name="_Toc417156741"/>
      <w:bookmarkStart w:id="82" w:name="_Toc417157197"/>
    </w:p>
    <w:p w14:paraId="1EF87526">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83" w:name="_Toc134813143"/>
      <w:bookmarkStart w:id="84" w:name="_Toc134812644"/>
      <w:bookmarkStart w:id="85" w:name="_Toc134813280"/>
      <w:bookmarkStart w:id="86" w:name="_Toc192675862"/>
      <w:bookmarkStart w:id="87" w:name="_Toc134813006"/>
      <w:r>
        <w:rPr>
          <w:rFonts w:ascii="Times New Roman" w:hAnsi="Times New Roman" w:eastAsia="黑体"/>
          <w:b/>
          <w:color w:val="000000" w:themeColor="text1"/>
          <w:sz w:val="30"/>
          <w:szCs w:val="30"/>
          <w14:textFill>
            <w14:solidFill>
              <w14:schemeClr w14:val="tx1"/>
            </w14:solidFill>
          </w14:textFill>
        </w:rPr>
        <w:t>包头市社会经济</w:t>
      </w:r>
      <w:bookmarkEnd w:id="79"/>
      <w:bookmarkEnd w:id="80"/>
      <w:bookmarkEnd w:id="81"/>
      <w:bookmarkEnd w:id="82"/>
      <w:r>
        <w:rPr>
          <w:rFonts w:ascii="Times New Roman" w:hAnsi="Times New Roman" w:eastAsia="黑体"/>
          <w:b/>
          <w:color w:val="000000" w:themeColor="text1"/>
          <w:sz w:val="30"/>
          <w:szCs w:val="30"/>
          <w14:textFill>
            <w14:solidFill>
              <w14:schemeClr w14:val="tx1"/>
            </w14:solidFill>
          </w14:textFill>
        </w:rPr>
        <w:t>发展情况</w:t>
      </w:r>
      <w:bookmarkEnd w:id="83"/>
      <w:bookmarkEnd w:id="84"/>
      <w:bookmarkEnd w:id="85"/>
      <w:bookmarkEnd w:id="86"/>
      <w:bookmarkEnd w:id="87"/>
    </w:p>
    <w:p w14:paraId="1C69A3CE">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88" w:name="_Toc134813007"/>
      <w:bookmarkStart w:id="89" w:name="_Toc134813281"/>
      <w:bookmarkStart w:id="90" w:name="_Toc192675863"/>
      <w:bookmarkStart w:id="91" w:name="_Toc134813144"/>
      <w:bookmarkStart w:id="92" w:name="_Toc134812645"/>
      <w:r>
        <w:rPr>
          <w:rFonts w:ascii="Times New Roman" w:hAnsi="Times New Roman" w:eastAsia="黑体"/>
          <w:b/>
          <w:color w:val="000000" w:themeColor="text1"/>
          <w:sz w:val="30"/>
          <w:szCs w:val="30"/>
          <w14:textFill>
            <w14:solidFill>
              <w14:schemeClr w14:val="tx1"/>
            </w14:solidFill>
          </w14:textFill>
        </w:rPr>
        <w:t>自然地理及行政区划</w:t>
      </w:r>
      <w:bookmarkEnd w:id="88"/>
      <w:bookmarkEnd w:id="89"/>
      <w:bookmarkEnd w:id="90"/>
      <w:bookmarkEnd w:id="91"/>
      <w:bookmarkEnd w:id="92"/>
    </w:p>
    <w:p w14:paraId="32E9549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地处祖国北疆，位于内蒙古自治区中西部，其地理坐标为东经109°16′~111°26′，北纬40°40′~42°44′。东邻呼和浩特市，北与蒙古人民共和国接壤，西靠巴彦淖尔市，南与鄂尔多斯市隔河相望。东西宽约182公里，南北长约270公里，总面积27768平方公里。</w:t>
      </w:r>
    </w:p>
    <w:p w14:paraId="5AB0D20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包头市青山区是包头市中心城区之一，包头装备制造产业园区坐落于包头市青山区北部，110国道两侧，距市区不到2公里，地理位置优越，交通便捷。</w:t>
      </w:r>
    </w:p>
    <w:p w14:paraId="6EDC67C4">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93" w:name="_Toc192675864"/>
      <w:bookmarkStart w:id="94" w:name="_Toc134813282"/>
      <w:bookmarkStart w:id="95" w:name="_Toc134812646"/>
      <w:bookmarkStart w:id="96" w:name="_Toc134813008"/>
      <w:bookmarkStart w:id="97" w:name="_Toc134813145"/>
      <w:r>
        <w:rPr>
          <w:rFonts w:hint="eastAsia" w:ascii="Times New Roman" w:hAnsi="Times New Roman" w:eastAsia="黑体"/>
          <w:b/>
          <w:color w:val="000000" w:themeColor="text1"/>
          <w:sz w:val="30"/>
          <w:szCs w:val="30"/>
          <w14:textFill>
            <w14:solidFill>
              <w14:schemeClr w14:val="tx1"/>
            </w14:solidFill>
          </w14:textFill>
        </w:rPr>
        <w:t>1</w:t>
      </w:r>
      <w:r>
        <w:rPr>
          <w:rFonts w:ascii="Times New Roman" w:hAnsi="Times New Roman" w:eastAsia="黑体"/>
          <w:b/>
          <w:color w:val="000000" w:themeColor="text1"/>
          <w:sz w:val="30"/>
          <w:szCs w:val="30"/>
          <w14:textFill>
            <w14:solidFill>
              <w14:schemeClr w14:val="tx1"/>
            </w14:solidFill>
          </w14:textFill>
        </w:rPr>
        <w:t>区位交通</w:t>
      </w:r>
      <w:bookmarkEnd w:id="93"/>
      <w:bookmarkEnd w:id="94"/>
      <w:bookmarkEnd w:id="95"/>
      <w:bookmarkEnd w:id="96"/>
      <w:bookmarkEnd w:id="97"/>
    </w:p>
    <w:p w14:paraId="08BBD00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是内陆通向西北地区和蒙古国的交通枢纽。横向有110国道，纵向210国道穿越市区；京包铁路、包兰铁路、包神铁路在包头交汇，是内蒙古最大的铁路枢纽；包头国际集装箱中转站使天津港口功能延伸到包头，可同世界各地实现门到门的货物运输。</w:t>
      </w:r>
    </w:p>
    <w:p w14:paraId="14FBF9C2">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青山区是包头市中心城区之一，包头装备制造产业园区坐落于包头市青山区北部，110国道两侧，距市区不到2公里，地理位置优越，交通便捷，20分钟即可到达包头火车站，30分钟可到达机场，并与京藏高速公路、210国道、国际集装箱转运站和2条铁路专用线相邻，是连通内蒙古呼和浩特、包头、鄂尔多斯“金三角”地区的重要交通枢纽。</w:t>
      </w:r>
    </w:p>
    <w:p w14:paraId="141DEC4E">
      <w:pPr>
        <w:snapToGrid w:val="0"/>
        <w:ind w:firstLine="560"/>
        <w:rPr>
          <w:color w:val="000000" w:themeColor="text1"/>
          <w14:textFill>
            <w14:solidFill>
              <w14:schemeClr w14:val="tx1"/>
            </w14:solidFill>
          </w14:textFill>
        </w:rPr>
      </w:pPr>
    </w:p>
    <w:p w14:paraId="14693ECA">
      <w:pPr>
        <w:widowControl/>
        <w:snapToGrid w:val="0"/>
        <w:ind w:firstLine="0" w:firstLineChars="0"/>
        <w:jc w:val="center"/>
        <w:rPr>
          <w:b/>
          <w:color w:val="000000" w:themeColor="text1"/>
          <w:szCs w:val="28"/>
          <w14:textFill>
            <w14:solidFill>
              <w14:schemeClr w14:val="tx1"/>
            </w14:solidFill>
          </w14:textFill>
        </w:rPr>
      </w:pPr>
      <w:r>
        <w:rPr>
          <w:b/>
          <w:color w:val="000000" w:themeColor="text1"/>
          <w:szCs w:val="28"/>
          <w14:textFill>
            <w14:solidFill>
              <w14:schemeClr w14:val="tx1"/>
            </w14:solidFill>
          </w14:textFill>
        </w:rPr>
        <w:drawing>
          <wp:inline distT="0" distB="0" distL="0" distR="0">
            <wp:extent cx="3931920" cy="4480560"/>
            <wp:effectExtent l="0" t="0" r="0" b="0"/>
            <wp:docPr id="41" name="图片 4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931920" cy="4480560"/>
                    </a:xfrm>
                    <a:prstGeom prst="rect">
                      <a:avLst/>
                    </a:prstGeom>
                    <a:noFill/>
                    <a:ln>
                      <a:noFill/>
                    </a:ln>
                  </pic:spPr>
                </pic:pic>
              </a:graphicData>
            </a:graphic>
          </wp:inline>
        </w:drawing>
      </w:r>
      <w:r>
        <w:rPr>
          <w:b/>
          <w:color w:val="000000" w:themeColor="text1"/>
          <w:szCs w:val="28"/>
          <w14:textFill>
            <w14:solidFill>
              <w14:schemeClr w14:val="tx1"/>
            </w14:solidFill>
          </w14:textFill>
        </w:rPr>
        <w:drawing>
          <wp:inline distT="0" distB="0" distL="0" distR="0">
            <wp:extent cx="5303520" cy="3749040"/>
            <wp:effectExtent l="0" t="0" r="0" b="3810"/>
            <wp:docPr id="40" name="图片 4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303520" cy="3749040"/>
                    </a:xfrm>
                    <a:prstGeom prst="rect">
                      <a:avLst/>
                    </a:prstGeom>
                    <a:noFill/>
                    <a:ln>
                      <a:noFill/>
                    </a:ln>
                  </pic:spPr>
                </pic:pic>
              </a:graphicData>
            </a:graphic>
          </wp:inline>
        </w:drawing>
      </w:r>
    </w:p>
    <w:p w14:paraId="7194245E">
      <w:pPr>
        <w:widowControl/>
        <w:snapToGrid w:val="0"/>
        <w:ind w:firstLine="562"/>
        <w:jc w:val="center"/>
        <w:rPr>
          <w:color w:val="000000" w:themeColor="text1"/>
          <w14:textFill>
            <w14:solidFill>
              <w14:schemeClr w14:val="tx1"/>
            </w14:solidFill>
          </w14:textFill>
        </w:rPr>
      </w:pPr>
      <w:r>
        <w:rPr>
          <w:b/>
          <w:color w:val="000000" w:themeColor="text1"/>
          <w:szCs w:val="28"/>
          <w14:textFill>
            <w14:solidFill>
              <w14:schemeClr w14:val="tx1"/>
            </w14:solidFill>
          </w14:textFill>
        </w:rPr>
        <w:t>图2-1   包头市内外交通联系图</w:t>
      </w:r>
      <w:r>
        <w:rPr>
          <w:color w:val="000000" w:themeColor="text1"/>
          <w:szCs w:val="28"/>
          <w14:textFill>
            <w14:solidFill>
              <w14:schemeClr w14:val="tx1"/>
            </w14:solidFill>
          </w14:textFill>
        </w:rPr>
        <w:br w:type="page"/>
      </w:r>
    </w:p>
    <w:p w14:paraId="1233BAA5">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98" w:name="_Toc192675865"/>
      <w:bookmarkStart w:id="99" w:name="_Toc417156830"/>
      <w:bookmarkStart w:id="100" w:name="_Toc417156742"/>
      <w:bookmarkStart w:id="101" w:name="_Toc134812651"/>
      <w:bookmarkStart w:id="102" w:name="_Toc417157198"/>
      <w:bookmarkStart w:id="103" w:name="_Toc134813287"/>
      <w:bookmarkStart w:id="104" w:name="_Toc417157117"/>
      <w:bookmarkStart w:id="105" w:name="_Toc134813013"/>
      <w:bookmarkStart w:id="106" w:name="_Toc134813150"/>
      <w:r>
        <w:rPr>
          <w:rFonts w:ascii="Times New Roman" w:hAnsi="Times New Roman" w:eastAsia="黑体"/>
          <w:b/>
          <w:color w:val="000000" w:themeColor="text1"/>
          <w:sz w:val="30"/>
          <w:szCs w:val="30"/>
          <w14:textFill>
            <w14:solidFill>
              <w14:schemeClr w14:val="tx1"/>
            </w14:solidFill>
          </w14:textFill>
        </w:rPr>
        <w:t>包头装备制造产业园区建设和发展现状</w:t>
      </w:r>
      <w:bookmarkEnd w:id="98"/>
      <w:bookmarkEnd w:id="99"/>
      <w:bookmarkEnd w:id="100"/>
      <w:bookmarkEnd w:id="101"/>
      <w:bookmarkEnd w:id="102"/>
      <w:bookmarkEnd w:id="103"/>
      <w:bookmarkEnd w:id="104"/>
      <w:bookmarkEnd w:id="105"/>
      <w:bookmarkEnd w:id="106"/>
    </w:p>
    <w:p w14:paraId="11D3FDB1">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07" w:name="_Toc192675866"/>
      <w:r>
        <w:rPr>
          <w:rFonts w:ascii="Times New Roman" w:hAnsi="Times New Roman" w:eastAsia="黑体"/>
          <w:b/>
          <w:color w:val="000000" w:themeColor="text1"/>
          <w:sz w:val="30"/>
          <w:szCs w:val="30"/>
          <w14:textFill>
            <w14:solidFill>
              <w14:schemeClr w14:val="tx1"/>
            </w14:solidFill>
          </w14:textFill>
        </w:rPr>
        <w:t>优势特色产业发展情况</w:t>
      </w:r>
      <w:bookmarkEnd w:id="107"/>
    </w:p>
    <w:p w14:paraId="36061068">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坚持“两新”导向，强化增量意识，主动承接“国家重要能源和战略资源基地”、“世界绿色硅都”两大建设任务，以打造千亿级绿色能源产业集群、五百亿级装备产业集群、百亿级核产业集群和百亿级储能产业集群为目标，聚焦优势特色产业，紧盯重点地区和重点企业，积极引进一批延长产业链、提升价值链的项目。绿色能源产业方面，依托弘元、晶澳、阿特斯等企业，积极推动光伏、风电等产业发展。应急产业方面，园区作为国家级应急产业示范基地，正在加快推动应急装备物资储备和培训实训基地建设，推动联东U谷·青山智造谷项目20户签约企业、10户意向企业尽快入驻运营，同时围绕应急工程抢险装备等领域开展招商。重车产业方面，充分发挥北奔“链主”作用，加快推动华钺非公路宽体矿用车、三一集团矿用机械制造全产业链基地等项目建设，带动工程机械产业链上下游聚集，助力园区培育产业竞争优势。储能产业方面，以比亚迪刀片电池超薄铜箔、内蒙古杉杉科技年产4万吨锂离子电池负极新能源材料等项目为核心，加快推动园区储能产业向隔膜、电解液、动力电池、电池PACK箱、电池管理系统等中下游延链，着力打造锂电产业新高地。氢能产业方面，正在建设包头首座氢能产业园，项目总占地面积158亩，项目总投资10亿元。目前已签约上海重塑、上海氢晨、浙江蓝能等13家制氢、储氢、运氢、加氢及氢燃料电池系统、电堆及其核心零部件制造等氢能装备类企业，力争将园区打造成为自治区乃至全国氢能装备制造产业集聚基地。</w:t>
      </w:r>
      <w:bookmarkStart w:id="108" w:name="_Toc417156833"/>
      <w:bookmarkStart w:id="109" w:name="_Toc134812654"/>
      <w:bookmarkStart w:id="110" w:name="_Toc134813290"/>
      <w:bookmarkStart w:id="111" w:name="_Toc134813153"/>
      <w:bookmarkStart w:id="112" w:name="_Toc417157120"/>
      <w:bookmarkStart w:id="113" w:name="_Toc417156745"/>
      <w:bookmarkStart w:id="114" w:name="_Toc417157201"/>
      <w:bookmarkStart w:id="115" w:name="_Toc134813016"/>
    </w:p>
    <w:p w14:paraId="34025109">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16" w:name="_Toc192675867"/>
      <w:r>
        <w:rPr>
          <w:rFonts w:ascii="Times New Roman" w:hAnsi="Times New Roman" w:eastAsia="黑体"/>
          <w:b/>
          <w:color w:val="000000" w:themeColor="text1"/>
          <w:sz w:val="30"/>
          <w:szCs w:val="30"/>
          <w14:textFill>
            <w14:solidFill>
              <w14:schemeClr w14:val="tx1"/>
            </w14:solidFill>
          </w14:textFill>
        </w:rPr>
        <w:t>产业发展现状</w:t>
      </w:r>
      <w:bookmarkEnd w:id="116"/>
    </w:p>
    <w:p w14:paraId="36C5743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截止目前，园区投产企业具备生产能力包括汽车装备制造、新能源装备制造、交通运输装备制造、综采装备制造、机电装备制造、工程机械装备制造等，年产单晶29.6GW，切片13GW，多晶铸锭、多晶硅棒2GW，锂电池负极材料10万吨，碳/碳复合材料及制品0.09万吨，碳纤维复合材料0.1万吨，橡胶弹性元件370万件，铝合金铸件0.41万吨，超高分子量聚乙烯防护产品0.2万吨，钢结构9.5万吨，镁合金压铸件10万吨，回收、拆解报废车1万辆，特种安全护栏1.6万片、镀锌喷塑高速公路护栏板6万吨，组装锌护栏10万m，钕铁硼磁片0.24万吨，石英坩埚1.5万只，碳/碳材料坩埚0.11万件，钨、钼制品0.02万吨，胶粉2万吨，3PE防腐管5万吨，聚氨酯保温管3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，干混砂浆50万吨，高性能铝合金焊丝0.003万吨，各种门窗35万m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、铝复合木门窗型材1.2万吨、窗用特种玻璃及中空玻璃40万m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，包装制品200万个，模具300套、塑料制品10亿套，热处理加工大型特钢产品1万吨，电泳涂装产品10万m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、橡塑制品喷涂20万m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、毛坯泳涂12万m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及PPG涂料分装0.1138t，各类深加工玻璃380万m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，新型环保托盘6万片，矿渣纤维保温材料2万吨，加工面食0.0036万吨，米类0.01万吨、熟食类0.011万吨，日处理牛初乳0.02万吨、马奶0.01万吨，加工调味品1500t。</w:t>
      </w:r>
    </w:p>
    <w:p w14:paraId="090E9E91">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17" w:name="_Toc192675868"/>
      <w:r>
        <w:rPr>
          <w:rFonts w:ascii="Times New Roman" w:hAnsi="Times New Roman" w:eastAsia="黑体"/>
          <w:b/>
          <w:color w:val="000000" w:themeColor="text1"/>
          <w:sz w:val="30"/>
          <w:szCs w:val="30"/>
          <w14:textFill>
            <w14:solidFill>
              <w14:schemeClr w14:val="tx1"/>
            </w14:solidFill>
          </w14:textFill>
        </w:rPr>
        <w:t>园区的基础设施现状</w:t>
      </w:r>
      <w:bookmarkEnd w:id="108"/>
      <w:bookmarkEnd w:id="109"/>
      <w:bookmarkEnd w:id="110"/>
      <w:bookmarkEnd w:id="111"/>
      <w:bookmarkEnd w:id="112"/>
      <w:bookmarkEnd w:id="113"/>
      <w:bookmarkEnd w:id="114"/>
      <w:bookmarkEnd w:id="115"/>
      <w:bookmarkEnd w:id="117"/>
    </w:p>
    <w:p w14:paraId="2B3DC4C2">
      <w:pPr>
        <w:snapToGrid w:val="0"/>
        <w:ind w:firstLine="560"/>
        <w:rPr>
          <w:color w:val="000000" w:themeColor="text1"/>
          <w14:textFill>
            <w14:solidFill>
              <w14:schemeClr w14:val="tx1"/>
            </w14:solidFill>
          </w14:textFill>
        </w:rPr>
      </w:pPr>
      <w:bookmarkStart w:id="118" w:name="_Toc417157202"/>
      <w:bookmarkStart w:id="119" w:name="_Toc417156746"/>
      <w:bookmarkStart w:id="120" w:name="_Toc417156834"/>
      <w:bookmarkStart w:id="121" w:name="_Toc417157121"/>
      <w:r>
        <w:rPr>
          <w:color w:val="000000" w:themeColor="text1"/>
          <w14:textFill>
            <w14:solidFill>
              <w14:schemeClr w14:val="tx1"/>
            </w14:solidFill>
          </w14:textFill>
        </w:rPr>
        <w:t>目前，园区基础设施建设较完善。100%的入园企业实现了道路畅通，水、电、天然气等生产要素得到满足，进而为企业的入驻和发展提供了坚实的保障。</w:t>
      </w:r>
    </w:p>
    <w:p w14:paraId="31D9730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（1）道路、桥梁建设情况</w:t>
      </w:r>
    </w:p>
    <w:p w14:paraId="2EE2706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为合理布局道路交通，优化发展环境，园区累计修建道路43条（新规划区35条+建成区8条），总长76.8公里（新规划区65.8公里+建成区11公里），完成绿化141万m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，完成人行道硬化24.7万m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，完成青创路跨大庙沟、园区南路跨东达沟、建华北路跨东达沟3座桥梁工程，极大缓解了交通压力。同时，为保障道路安全，完成新规划区全部路灯及信号灯改造，进一步提升了园区亮化工程覆盖面积。</w:t>
      </w:r>
    </w:p>
    <w:p w14:paraId="7EC87B6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（2）供水及管网建设</w:t>
      </w:r>
    </w:p>
    <w:p w14:paraId="6B9DC0A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主干道和次干道供水管线、排水管线基本实现全覆盖。累计铺设给水管线75.5公里（新规划区64.5公里+建成区11公里），同时，为全力保障企业生产生活用水，已完成科技园西路给水管线改造、弘元涵洞工程、全长5990米的工业供水二期工程。</w:t>
      </w:r>
    </w:p>
    <w:p w14:paraId="73944A53">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（3）污水处理及管网</w:t>
      </w:r>
    </w:p>
    <w:p w14:paraId="43F42198">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1）污水处理</w:t>
      </w:r>
    </w:p>
    <w:p w14:paraId="5109040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目前，包头装备制造产业园区水资源集中处置供应中心项目已顺利完成一级A再生水管线通水试验。</w:t>
      </w:r>
    </w:p>
    <w:p w14:paraId="7CBBBB8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该项目主要建设内容包括调节提升泵房1座、事故池1座、预处理间1座、混合絮凝沉淀2座、低盐水改良AAO及二沉池各1座、高盐水改良AAO及二沉池各1座、再生水预处理车间1座、膜净水间及浓水处理间1座、液氧储罐及臭氧发生器间1座、高级氧化池1座、MVR蒸发车间1座、再生水池及浓盐水池1座、送水泵房及变配电间座、污泥浓缩池1座、污泥脱水间1座、再生水深处理及变配电间1座、鼓风机房加药间及变配电间1座；附属建筑物：盐库1座、热泵机房（膜净水间内）、蒸汽发生器间、水质监测用房、综合楼、门卫及大门等其他相关设施。</w:t>
      </w:r>
    </w:p>
    <w:p w14:paraId="09E36AC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该项目建设规模为日处理低盐污水3.5万立方米，高盐污水3.0万立方米及日产高品质再生水9万立方米，再生水主要用于工业、企业生产用水，其次考虑绿化、道路清扫及景观湿地环境用水。</w:t>
      </w:r>
    </w:p>
    <w:p w14:paraId="2B1FB9E6">
      <w:pPr>
        <w:snapToGrid w:val="0"/>
        <w:ind w:firstLine="560"/>
        <w:rPr>
          <w:color w:val="000000" w:themeColor="text1"/>
          <w14:textFill>
            <w14:solidFill>
              <w14:schemeClr w14:val="tx1"/>
            </w14:solidFill>
          </w14:textFill>
        </w:rPr>
      </w:pPr>
    </w:p>
    <w:p w14:paraId="42550E71">
      <w:pPr>
        <w:snapToGrid w:val="0"/>
        <w:ind w:firstLine="560"/>
        <w:rPr>
          <w:rFonts w:hint="eastAsia"/>
          <w:color w:val="000000" w:themeColor="text1"/>
          <w14:textFill>
            <w14:solidFill>
              <w14:schemeClr w14:val="tx1"/>
            </w14:solidFill>
          </w14:textFill>
        </w:rPr>
      </w:pPr>
    </w:p>
    <w:p w14:paraId="2CFA69A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2）污水管网</w:t>
      </w:r>
    </w:p>
    <w:p w14:paraId="7F2B109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园区已累计铺设污水管线73.6公里（新规划区62.6 公里+建成区11公里），雨水管线61.2公里（新规划区50.2公里+建成区11公里），再生水管线已完成6公里建设，日提升污水0.69万m</w:t>
      </w:r>
      <w:r>
        <w:rPr>
          <w:color w:val="000000" w:themeColor="text1"/>
          <w:vertAlign w:val="superscript"/>
          <w14:textFill>
            <w14:solidFill>
              <w14:schemeClr w14:val="tx1"/>
            </w14:solidFill>
          </w14:textFill>
        </w:rPr>
        <w:t>3</w:t>
      </w:r>
      <w:r>
        <w:rPr>
          <w:color w:val="000000" w:themeColor="text1"/>
          <w14:textFill>
            <w14:solidFill>
              <w14:schemeClr w14:val="tx1"/>
            </w14:solidFill>
          </w14:textFill>
        </w:rPr>
        <w:t>污水泵站1座。雨水分别排入大庙沟、东达沟及世纪路。</w:t>
      </w:r>
    </w:p>
    <w:p w14:paraId="7C7D2EC4">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（4）供电设施建设情况</w:t>
      </w:r>
    </w:p>
    <w:p w14:paraId="79E4B2A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位于包北500kV变电站与威俊500kV变电站组成的联合供电区，园区供电网络已全覆盖。随着光伏产业不断集聚，园区加大对变电站的建设力度，共建设有15座变电站，公共变电站6座、企业变电站9座。公共变电站中，220kV变电站3座，110kV变电站3座，分别为：大德恒220kV变、应益220kV变、沙河220kV变、青园110kv变、当铺110kV变、宏庆德110变。企业变电站中，220kV变电站2座，110kV变电站6座，35kV变电站1座，分别为弘元220kV变、晶澳220kV变、阿特斯110kV变、比亚迪110kV变、弘元110kV变2座、晶澳110kV变、杉杉110kV变、栢特35kV变。其中，弘元220kV变、比亚迪110kV变正在建设。</w:t>
      </w:r>
    </w:p>
    <w:p w14:paraId="0D3B68F4">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随着园区招商引资不断推进，产业链逐渐健全，沿链补链的项目逐年增多，需提前规划布局力德片区供电网络建设，计划申请实施大青山南以东地区新建500KV变电站1座，力德片区规划220kv变1座、110kv变2座，加快建设包北500千伏变电站扩建，夯实园区企业用电保障。</w:t>
      </w:r>
    </w:p>
    <w:p w14:paraId="6DAD0A9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（5）供气工程</w:t>
      </w:r>
    </w:p>
    <w:p w14:paraId="0A955B2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园区天然气由包头市燃气公司建设，将根据用户需求铺设管线，园区范围内已按照道路管网铺设完成全覆盖，管径分别为315mm、200mm，压力分别为4kg到2kg之间，可满足各种企业生产、生活用气需求。</w:t>
      </w:r>
    </w:p>
    <w:p w14:paraId="2B34DBC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（6）供热工程</w:t>
      </w:r>
    </w:p>
    <w:p w14:paraId="74BC0A1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供热采用集中供热方式，原有企业自建燃气锅炉逐步退出，鼓励企业工业余热回收利用。集中供热热源为新源光热，已铺设供热管线10.1公里，覆盖50万平方米。集中供热通过多能互补方式的清洁能源供热，采用太阳能光热镜场与三电厂热电联产相互补充方式为园区企业及周边商住提供清洁供热服务，解决企业冬季供暖需求。到2025年，园区供热管网要达到25公里，基本实现覆盖园区所有企业。</w:t>
      </w:r>
    </w:p>
    <w:p w14:paraId="1D9E466F">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122" w:name="_Toc134813017"/>
      <w:bookmarkStart w:id="123" w:name="_Toc134813291"/>
      <w:bookmarkStart w:id="124" w:name="_Toc134813154"/>
      <w:bookmarkStart w:id="125" w:name="_Toc134812655"/>
      <w:bookmarkStart w:id="126" w:name="_Toc192675869"/>
      <w:r>
        <w:rPr>
          <w:rFonts w:ascii="Times New Roman" w:hAnsi="Times New Roman" w:eastAsia="黑体"/>
          <w:b/>
          <w:color w:val="000000" w:themeColor="text1"/>
          <w:sz w:val="30"/>
          <w:szCs w:val="30"/>
          <w14:textFill>
            <w14:solidFill>
              <w14:schemeClr w14:val="tx1"/>
            </w14:solidFill>
          </w14:textFill>
        </w:rPr>
        <w:t>园区发展存在的主要问题</w:t>
      </w:r>
      <w:bookmarkEnd w:id="118"/>
      <w:bookmarkEnd w:id="119"/>
      <w:bookmarkEnd w:id="120"/>
      <w:bookmarkEnd w:id="121"/>
      <w:bookmarkEnd w:id="122"/>
      <w:bookmarkEnd w:id="123"/>
      <w:bookmarkEnd w:id="124"/>
      <w:bookmarkEnd w:id="125"/>
      <w:bookmarkEnd w:id="126"/>
    </w:p>
    <w:p w14:paraId="046E19C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 产业链上下游配套失衡</w:t>
      </w:r>
    </w:p>
    <w:p w14:paraId="12DA8B3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光伏产业链断层明显：单晶硅产能、切片产能、多晶硅、单晶产能差距悬殊，可能导致原材料积压或依赖外部消化。</w:t>
      </w:r>
    </w:p>
    <w:p w14:paraId="1810D0F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新能源材料应用端缺失：目前具备锂电池负极材料（生产能力，但在隔膜、动力电池组装（PACK）等中下游环节尚未规模化落地，储能产业链闭环未完成，储能/动力电池产业链未形成闭环。</w:t>
      </w:r>
    </w:p>
    <w:p w14:paraId="77ED3F4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 产业协同性不足</w:t>
      </w:r>
    </w:p>
    <w:p w14:paraId="1B15816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装备制造链条割裂：汽车/工程机械装备制造与核心零部件（如发动机、液压系统）产能未匹配。</w:t>
      </w:r>
    </w:p>
    <w:p w14:paraId="675EF5C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 技术升级瓶颈显现</w:t>
      </w:r>
    </w:p>
    <w:p w14:paraId="5FD2F278">
      <w:pPr>
        <w:snapToGrid w:val="0"/>
        <w:ind w:firstLine="560"/>
        <w:rPr>
          <w:color w:val="000000" w:themeColor="text1"/>
          <w:szCs w:val="28"/>
          <w14:textFill>
            <w14:solidFill>
              <w14:schemeClr w14:val="tx1"/>
            </w14:solidFill>
          </w14:textFill>
        </w:rPr>
      </w:pPr>
      <w:r>
        <w:rPr>
          <w:color w:val="000000" w:themeColor="text1"/>
          <w14:textFill>
            <w14:solidFill>
              <w14:schemeClr w14:val="tx1"/>
            </w14:solidFill>
          </w14:textFill>
        </w:rPr>
        <w:t>智能制造空白：机器人集成、工业互联网等智能装备制造环节缺失，制约传统装备制造转型升级。</w:t>
      </w:r>
      <w:bookmarkStart w:id="127" w:name="_Toc417157205"/>
      <w:bookmarkStart w:id="128" w:name="_Toc417157124"/>
      <w:bookmarkStart w:id="129" w:name="_Toc417156749"/>
      <w:bookmarkStart w:id="130" w:name="_Toc417156837"/>
    </w:p>
    <w:bookmarkEnd w:id="127"/>
    <w:bookmarkEnd w:id="128"/>
    <w:bookmarkEnd w:id="129"/>
    <w:bookmarkEnd w:id="130"/>
    <w:p w14:paraId="7E12A8BE">
      <w:pPr>
        <w:adjustRightInd w:val="0"/>
        <w:snapToGrid w:val="0"/>
        <w:ind w:firstLine="198" w:firstLineChars="66"/>
        <w:jc w:val="left"/>
        <w:outlineLvl w:val="0"/>
        <w:rPr>
          <w:rFonts w:eastAsia="黑体"/>
          <w:b/>
          <w:color w:val="000000" w:themeColor="text1"/>
          <w:sz w:val="36"/>
          <w:szCs w:val="36"/>
          <w14:textFill>
            <w14:solidFill>
              <w14:schemeClr w14:val="tx1"/>
            </w14:solidFill>
          </w14:textFill>
        </w:rPr>
      </w:pPr>
      <w:r>
        <w:rPr>
          <w:rFonts w:eastAsia="黑体"/>
          <w:b/>
          <w:color w:val="000000" w:themeColor="text1"/>
          <w:sz w:val="30"/>
          <w:szCs w:val="30"/>
          <w14:textFill>
            <w14:solidFill>
              <w14:schemeClr w14:val="tx1"/>
            </w14:solidFill>
          </w14:textFill>
        </w:rPr>
        <w:br w:type="page"/>
      </w:r>
      <w:bookmarkStart w:id="131" w:name="_Toc134812660"/>
      <w:bookmarkStart w:id="132" w:name="_Toc192675870"/>
      <w:bookmarkStart w:id="133" w:name="_Toc134813296"/>
      <w:bookmarkStart w:id="134" w:name="_Toc134813022"/>
      <w:bookmarkStart w:id="135" w:name="_Toc134813159"/>
      <w:r>
        <w:rPr>
          <w:rFonts w:eastAsia="黑体"/>
          <w:b/>
          <w:color w:val="000000" w:themeColor="text1"/>
          <w:sz w:val="36"/>
          <w:szCs w:val="36"/>
          <w14:textFill>
            <w14:solidFill>
              <w14:schemeClr w14:val="tx1"/>
            </w14:solidFill>
          </w14:textFill>
        </w:rPr>
        <w:t>3 园区产业发展分析</w:t>
      </w:r>
      <w:bookmarkEnd w:id="131"/>
      <w:bookmarkEnd w:id="132"/>
      <w:bookmarkEnd w:id="133"/>
      <w:bookmarkEnd w:id="134"/>
      <w:bookmarkEnd w:id="135"/>
    </w:p>
    <w:p w14:paraId="5DF4DA7E">
      <w:pPr>
        <w:pStyle w:val="97"/>
        <w:numPr>
          <w:ilvl w:val="0"/>
          <w:numId w:val="4"/>
        </w:numPr>
        <w:adjustRightInd w:val="0"/>
        <w:snapToGrid w:val="0"/>
        <w:ind w:firstLineChars="0"/>
        <w:outlineLvl w:val="1"/>
        <w:rPr>
          <w:rFonts w:ascii="Times New Roman" w:hAnsi="Times New Roman" w:eastAsia="黑体"/>
          <w:b/>
          <w:vanish/>
          <w:color w:val="000000" w:themeColor="text1"/>
          <w:sz w:val="30"/>
          <w:szCs w:val="30"/>
          <w14:textFill>
            <w14:solidFill>
              <w14:schemeClr w14:val="tx1"/>
            </w14:solidFill>
          </w14:textFill>
        </w:rPr>
      </w:pPr>
      <w:bookmarkStart w:id="136" w:name="_Toc134812803"/>
      <w:bookmarkEnd w:id="136"/>
      <w:bookmarkStart w:id="137" w:name="_Toc161133075"/>
      <w:bookmarkEnd w:id="137"/>
      <w:bookmarkStart w:id="138" w:name="_Toc144211272"/>
      <w:bookmarkEnd w:id="138"/>
      <w:bookmarkStart w:id="139" w:name="_Toc161132235"/>
      <w:bookmarkEnd w:id="139"/>
      <w:bookmarkStart w:id="140" w:name="_Toc192675871"/>
      <w:bookmarkEnd w:id="140"/>
      <w:bookmarkStart w:id="141" w:name="_Toc145341182"/>
      <w:bookmarkEnd w:id="141"/>
      <w:bookmarkStart w:id="142" w:name="_Toc156552995"/>
      <w:bookmarkEnd w:id="142"/>
      <w:bookmarkStart w:id="143" w:name="_Toc148367039"/>
      <w:bookmarkEnd w:id="143"/>
      <w:bookmarkStart w:id="144" w:name="_Toc145344427"/>
      <w:bookmarkEnd w:id="144"/>
      <w:bookmarkStart w:id="145" w:name="_Toc134813731"/>
      <w:bookmarkEnd w:id="145"/>
      <w:bookmarkStart w:id="146" w:name="_Toc156553625"/>
      <w:bookmarkEnd w:id="146"/>
      <w:bookmarkStart w:id="147" w:name="_Toc134813160"/>
      <w:bookmarkEnd w:id="147"/>
      <w:bookmarkStart w:id="148" w:name="_Toc134812661"/>
      <w:bookmarkEnd w:id="148"/>
      <w:bookmarkStart w:id="149" w:name="_Toc134813297"/>
      <w:bookmarkEnd w:id="149"/>
      <w:bookmarkStart w:id="150" w:name="_Toc182320640"/>
      <w:bookmarkEnd w:id="150"/>
      <w:bookmarkStart w:id="151" w:name="_Toc134813023"/>
      <w:bookmarkEnd w:id="151"/>
      <w:bookmarkStart w:id="152" w:name="_Toc162446275"/>
      <w:bookmarkEnd w:id="152"/>
      <w:bookmarkStart w:id="153" w:name="_Toc186205226"/>
      <w:bookmarkEnd w:id="153"/>
      <w:bookmarkStart w:id="154" w:name="_Toc159406703"/>
      <w:bookmarkEnd w:id="154"/>
      <w:bookmarkStart w:id="155" w:name="_Toc190952797"/>
      <w:bookmarkEnd w:id="155"/>
      <w:bookmarkStart w:id="156" w:name="_Toc150947917"/>
      <w:bookmarkEnd w:id="156"/>
      <w:bookmarkStart w:id="157" w:name="_Toc190952246"/>
      <w:bookmarkEnd w:id="157"/>
      <w:bookmarkStart w:id="158" w:name="_Toc417156839"/>
      <w:bookmarkStart w:id="159" w:name="_Toc417157126"/>
      <w:bookmarkStart w:id="160" w:name="_Toc417156751"/>
      <w:bookmarkStart w:id="161" w:name="_Toc417157207"/>
    </w:p>
    <w:p w14:paraId="04FAE3F3">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162" w:name="_Toc134813024"/>
      <w:bookmarkStart w:id="163" w:name="_Toc134812662"/>
      <w:bookmarkStart w:id="164" w:name="_Toc134813298"/>
      <w:bookmarkStart w:id="165" w:name="_Toc134813161"/>
      <w:bookmarkStart w:id="166" w:name="_Toc192675872"/>
      <w:r>
        <w:rPr>
          <w:rFonts w:ascii="Times New Roman" w:hAnsi="Times New Roman" w:eastAsia="黑体"/>
          <w:b/>
          <w:color w:val="000000" w:themeColor="text1"/>
          <w:sz w:val="30"/>
          <w:szCs w:val="30"/>
          <w14:textFill>
            <w14:solidFill>
              <w14:schemeClr w14:val="tx1"/>
            </w14:solidFill>
          </w14:textFill>
        </w:rPr>
        <w:t>优势分析</w:t>
      </w:r>
      <w:bookmarkEnd w:id="158"/>
      <w:bookmarkEnd w:id="159"/>
      <w:bookmarkEnd w:id="160"/>
      <w:bookmarkEnd w:id="161"/>
      <w:r>
        <w:rPr>
          <w:rFonts w:ascii="Times New Roman" w:hAnsi="Times New Roman" w:eastAsia="黑体"/>
          <w:b/>
          <w:color w:val="000000" w:themeColor="text1"/>
          <w:sz w:val="30"/>
          <w:szCs w:val="30"/>
          <w14:textFill>
            <w14:solidFill>
              <w14:schemeClr w14:val="tx1"/>
            </w14:solidFill>
          </w14:textFill>
        </w:rPr>
        <w:t>（S）</w:t>
      </w:r>
      <w:bookmarkEnd w:id="162"/>
      <w:bookmarkEnd w:id="163"/>
      <w:bookmarkEnd w:id="164"/>
      <w:bookmarkEnd w:id="165"/>
      <w:bookmarkEnd w:id="166"/>
    </w:p>
    <w:p w14:paraId="40AB7A42">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67" w:name="_Toc192675873"/>
      <w:bookmarkStart w:id="168" w:name="_Toc417157208"/>
      <w:bookmarkStart w:id="169" w:name="_Toc134813025"/>
      <w:bookmarkStart w:id="170" w:name="_Toc417156752"/>
      <w:bookmarkStart w:id="171" w:name="_Toc134813162"/>
      <w:bookmarkStart w:id="172" w:name="_Toc417156840"/>
      <w:bookmarkStart w:id="173" w:name="_Toc134813299"/>
      <w:bookmarkStart w:id="174" w:name="_Toc134812663"/>
      <w:bookmarkStart w:id="175" w:name="_Toc417157127"/>
      <w:r>
        <w:rPr>
          <w:rFonts w:ascii="Times New Roman" w:hAnsi="Times New Roman" w:eastAsia="黑体"/>
          <w:b/>
          <w:color w:val="000000" w:themeColor="text1"/>
          <w:sz w:val="30"/>
          <w:szCs w:val="30"/>
          <w14:textFill>
            <w14:solidFill>
              <w14:schemeClr w14:val="tx1"/>
            </w14:solidFill>
          </w14:textFill>
        </w:rPr>
        <w:t>区位交通优势</w:t>
      </w:r>
      <w:bookmarkEnd w:id="167"/>
      <w:bookmarkEnd w:id="168"/>
      <w:bookmarkEnd w:id="169"/>
      <w:bookmarkEnd w:id="170"/>
      <w:bookmarkEnd w:id="171"/>
      <w:bookmarkEnd w:id="172"/>
      <w:bookmarkEnd w:id="173"/>
      <w:bookmarkEnd w:id="174"/>
      <w:bookmarkEnd w:id="175"/>
    </w:p>
    <w:p w14:paraId="7F68B31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包头市地处</w:t>
      </w:r>
      <w:r>
        <w:t>环渤海经济圈</w:t>
      </w:r>
      <w:r>
        <w:rPr>
          <w:color w:val="000000" w:themeColor="text1"/>
          <w14:textFill>
            <w14:solidFill>
              <w14:schemeClr w14:val="tx1"/>
            </w14:solidFill>
          </w14:textFill>
        </w:rPr>
        <w:t>和沿黄经济带的腹地，是连接</w:t>
      </w:r>
      <w:r>
        <w:t>华北和西北的重要枢纽，是中国、内蒙古对外开放的重点发展地区，中国大陆铁路交通枢纽城市之一，青山区是包头市下辖区，位于内蒙古自治区西部、包头</w:t>
      </w:r>
      <w:r>
        <w:rPr>
          <w:color w:val="000000" w:themeColor="text1"/>
          <w14:textFill>
            <w14:solidFill>
              <w14:schemeClr w14:val="tx1"/>
            </w14:solidFill>
          </w14:textFill>
        </w:rPr>
        <w:t>市中部、大青山南麓及土默川平原西北部，地理坐标为北纬40°37′～40°48′，东经109°49′～110°5′。东南与九原区相邻，南与稀土高新技术产业开发区接壤，西与昆都仑区相连，北与固阳县毗邻，东北与石拐区为邻。行政区域面积约280平方千米。</w:t>
      </w:r>
    </w:p>
    <w:p w14:paraId="5682768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青山区“七横七纵”、“内外双环”的道路网络体系基本形成，交通四通八达。人均拥有道路面积11.87平方米。京包、包兰、包白、包神铁路在此交汇，直通北京、天津、沈阳、上海、宁波、石家庄、太原、武汉、西安、广州、深圳等地，得天独厚的区位优势为包头装备制造产业园区创造了良好的发展条件。</w:t>
      </w:r>
    </w:p>
    <w:p w14:paraId="24B3EA01">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76" w:name="_Toc134813300"/>
      <w:bookmarkStart w:id="177" w:name="_Toc192675874"/>
      <w:bookmarkStart w:id="178" w:name="_Toc134813163"/>
      <w:bookmarkStart w:id="179" w:name="_Toc134813026"/>
      <w:bookmarkStart w:id="180" w:name="_Toc417157209"/>
      <w:bookmarkStart w:id="181" w:name="_Toc417156753"/>
      <w:bookmarkStart w:id="182" w:name="_Toc417157128"/>
      <w:bookmarkStart w:id="183" w:name="_Toc417156841"/>
      <w:bookmarkStart w:id="184" w:name="_Toc134812664"/>
      <w:r>
        <w:rPr>
          <w:rFonts w:ascii="Times New Roman" w:hAnsi="Times New Roman" w:eastAsia="黑体"/>
          <w:b/>
          <w:color w:val="000000" w:themeColor="text1"/>
          <w:sz w:val="30"/>
          <w:szCs w:val="30"/>
          <w14:textFill>
            <w14:solidFill>
              <w14:schemeClr w14:val="tx1"/>
            </w14:solidFill>
          </w14:textFill>
        </w:rPr>
        <w:t>资源能源优势</w:t>
      </w:r>
      <w:bookmarkEnd w:id="176"/>
      <w:bookmarkEnd w:id="177"/>
      <w:bookmarkEnd w:id="178"/>
      <w:bookmarkEnd w:id="179"/>
      <w:bookmarkEnd w:id="180"/>
      <w:bookmarkEnd w:id="181"/>
      <w:bookmarkEnd w:id="182"/>
      <w:bookmarkEnd w:id="183"/>
      <w:bookmarkEnd w:id="184"/>
    </w:p>
    <w:p w14:paraId="399CC2C0">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（1）资源</w:t>
      </w:r>
    </w:p>
    <w:p w14:paraId="4A8BE286">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是我国重要的钢铁、铝业、装备制造业基地和全国最大的稀土工业基地，具有丰富的煤炭资源和矿产资源，已发现各种矿藏74种，其中铁矿石储量约为17亿吨，特别是稀土资源得天独厚，全市稀土的工业储量约为1亿吨，占世界的62%，全国的87%。</w:t>
      </w:r>
    </w:p>
    <w:p w14:paraId="7F57F440">
      <w:pPr>
        <w:snapToGrid w:val="0"/>
        <w:ind w:firstLine="560"/>
        <w:rPr>
          <w:color w:val="000000" w:themeColor="text1"/>
          <w14:textFill>
            <w14:solidFill>
              <w14:schemeClr w14:val="tx1"/>
            </w14:solidFill>
          </w14:textFill>
        </w:rPr>
      </w:pPr>
      <w:bookmarkStart w:id="185" w:name="_Toc417156842"/>
      <w:bookmarkStart w:id="186" w:name="_Toc417156754"/>
      <w:bookmarkStart w:id="187" w:name="_Toc417157210"/>
      <w:bookmarkStart w:id="188" w:name="_Toc417157129"/>
      <w:r>
        <w:rPr>
          <w:color w:val="000000" w:themeColor="text1"/>
          <w14:textFill>
            <w14:solidFill>
              <w14:schemeClr w14:val="tx1"/>
            </w14:solidFill>
          </w14:textFill>
        </w:rPr>
        <w:t>（2）电力</w:t>
      </w:r>
    </w:p>
    <w:p w14:paraId="0406003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2024年，包头市全社会用电量累计1096.26亿千瓦时，同比增长7.44%，其中工业用电量1036.75亿千瓦时，同比增长7.73%，占全社会用电量的94.57%。全社会使用电网电量756.18亿千瓦时，自备电厂自发自用电量272.33亿千瓦时，厂用电53.29亿千瓦时。</w:t>
      </w:r>
    </w:p>
    <w:p w14:paraId="47A64563">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89" w:name="_Toc134812665"/>
      <w:bookmarkStart w:id="190" w:name="_Toc192675875"/>
      <w:bookmarkStart w:id="191" w:name="_Toc134813301"/>
      <w:bookmarkStart w:id="192" w:name="_Toc134813164"/>
      <w:bookmarkStart w:id="193" w:name="_Toc134813027"/>
      <w:r>
        <w:rPr>
          <w:rFonts w:ascii="Times New Roman" w:hAnsi="Times New Roman" w:eastAsia="黑体"/>
          <w:b/>
          <w:color w:val="000000" w:themeColor="text1"/>
          <w:sz w:val="30"/>
          <w:szCs w:val="30"/>
          <w14:textFill>
            <w14:solidFill>
              <w14:schemeClr w14:val="tx1"/>
            </w14:solidFill>
          </w14:textFill>
        </w:rPr>
        <w:t>产业发展优势</w:t>
      </w:r>
      <w:bookmarkEnd w:id="185"/>
      <w:bookmarkEnd w:id="186"/>
      <w:bookmarkEnd w:id="187"/>
      <w:bookmarkEnd w:id="188"/>
      <w:bookmarkEnd w:id="189"/>
      <w:bookmarkEnd w:id="190"/>
      <w:bookmarkEnd w:id="191"/>
      <w:bookmarkEnd w:id="192"/>
      <w:bookmarkEnd w:id="193"/>
    </w:p>
    <w:p w14:paraId="6416811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装备制造产业园区是按照内蒙古自治区、包头市发展装备制造特色产业基地的战略部署而建设的新型特色产业园区，充分依托一机集团、北重集团、核工业二〇二厂等军工企业多年来形成的产业基础和资源优势，紧紧围绕产业结构调整和深化企业改革相结合的思路，全力推动企业资产重组和产业优化升级，大力发展军民结合装备制造产业，现已成为全国中西部地区的优势产业和特色经济。</w:t>
      </w:r>
    </w:p>
    <w:p w14:paraId="1F06A083">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94" w:name="_Toc134812667"/>
      <w:bookmarkStart w:id="195" w:name="_Toc192675876"/>
      <w:bookmarkStart w:id="196" w:name="_Toc134813029"/>
      <w:bookmarkStart w:id="197" w:name="_Toc134813166"/>
      <w:bookmarkStart w:id="198" w:name="_Toc134813303"/>
      <w:r>
        <w:rPr>
          <w:rFonts w:ascii="Times New Roman" w:hAnsi="Times New Roman" w:eastAsia="黑体"/>
          <w:b/>
          <w:color w:val="000000" w:themeColor="text1"/>
          <w:sz w:val="30"/>
          <w:szCs w:val="30"/>
          <w14:textFill>
            <w14:solidFill>
              <w14:schemeClr w14:val="tx1"/>
            </w14:solidFill>
          </w14:textFill>
        </w:rPr>
        <w:t>充足的产业工人优势</w:t>
      </w:r>
      <w:bookmarkEnd w:id="194"/>
      <w:bookmarkEnd w:id="195"/>
      <w:bookmarkEnd w:id="196"/>
      <w:bookmarkEnd w:id="197"/>
      <w:bookmarkEnd w:id="198"/>
    </w:p>
    <w:p w14:paraId="01F63D6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市建成西部地区最大的职业教育园区，6所职业院校入驻，办学条件不断改善，师资队伍不断优化，教育质量和效益持续提高，形成了涵盖中等职业教育、高等职业教育较为完整的职业教育体系。我市现有中等职业学校18所，在校生2万人；高职学校5所，在校生5万人；本科高等学校3所，在校生5.8万人。包头职业教育紧扣产业链，部署教育链，调整专业链，对接自治区12条产业链、包头市16条产业链，建成中等职业教育16大类89个专业，高等职业教育19大类136个专业，每个产业链都有3-20个中职和高职专业紧密对接，为地区经济社会发展提供专业技能人才保障。建成自治区骨干专业24个，自治区骨干特色创新型专业33个，市级重点专业28个。这些院校均可为园区加工制造业提供充足的技术及产业工人。</w:t>
      </w:r>
    </w:p>
    <w:p w14:paraId="0356F1BD">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199" w:name="_Toc134813167"/>
      <w:bookmarkStart w:id="200" w:name="_Toc192675877"/>
      <w:bookmarkStart w:id="201" w:name="_Toc134813304"/>
      <w:bookmarkStart w:id="202" w:name="_Toc134813030"/>
      <w:bookmarkStart w:id="203" w:name="_Toc134812668"/>
      <w:r>
        <w:rPr>
          <w:rFonts w:ascii="Times New Roman" w:hAnsi="Times New Roman" w:eastAsia="黑体"/>
          <w:b/>
          <w:color w:val="000000" w:themeColor="text1"/>
          <w:sz w:val="30"/>
          <w:szCs w:val="30"/>
          <w14:textFill>
            <w14:solidFill>
              <w14:schemeClr w14:val="tx1"/>
            </w14:solidFill>
          </w14:textFill>
        </w:rPr>
        <w:t>投资环境优势</w:t>
      </w:r>
      <w:bookmarkEnd w:id="199"/>
      <w:bookmarkEnd w:id="200"/>
      <w:bookmarkEnd w:id="201"/>
      <w:bookmarkEnd w:id="202"/>
      <w:bookmarkEnd w:id="203"/>
    </w:p>
    <w:p w14:paraId="6CE7F54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为了创造一流的投资环境，工业园区高标准规划、高起点建设、高效率服务的服务市政区已全面开工建设，工业园区规划和基础配套设施也已开工建设。为入园企业配套的社会事业服务设施不断完善，入驻企业可轻装上阵，一心一意谋发展。园区管委会将在项目审批、土地征用、供水、供电等方面为项目提供“一站式”服务，确定专门的领导和业务干部负责协调服务。</w:t>
      </w:r>
    </w:p>
    <w:p w14:paraId="164B3EB6">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204" w:name="_Toc417157130"/>
      <w:bookmarkStart w:id="205" w:name="_Toc417156755"/>
      <w:bookmarkStart w:id="206" w:name="_Toc417157211"/>
      <w:bookmarkStart w:id="207" w:name="_Toc417156843"/>
      <w:bookmarkStart w:id="208" w:name="_Toc134813305"/>
      <w:bookmarkStart w:id="209" w:name="_Toc192675878"/>
      <w:bookmarkStart w:id="210" w:name="_Toc134812669"/>
      <w:bookmarkStart w:id="211" w:name="_Toc134813168"/>
      <w:bookmarkStart w:id="212" w:name="_Toc134813031"/>
      <w:r>
        <w:rPr>
          <w:rFonts w:ascii="Times New Roman" w:hAnsi="Times New Roman" w:eastAsia="黑体"/>
          <w:b/>
          <w:color w:val="000000" w:themeColor="text1"/>
          <w:sz w:val="30"/>
          <w:szCs w:val="30"/>
          <w14:textFill>
            <w14:solidFill>
              <w14:schemeClr w14:val="tx1"/>
            </w14:solidFill>
          </w14:textFill>
        </w:rPr>
        <w:t>劣势分析</w:t>
      </w:r>
      <w:bookmarkEnd w:id="204"/>
      <w:bookmarkEnd w:id="205"/>
      <w:bookmarkEnd w:id="206"/>
      <w:bookmarkEnd w:id="207"/>
      <w:r>
        <w:rPr>
          <w:rFonts w:ascii="Times New Roman" w:hAnsi="Times New Roman" w:eastAsia="黑体"/>
          <w:b/>
          <w:color w:val="000000" w:themeColor="text1"/>
          <w:sz w:val="30"/>
          <w:szCs w:val="30"/>
          <w14:textFill>
            <w14:solidFill>
              <w14:schemeClr w14:val="tx1"/>
            </w14:solidFill>
          </w14:textFill>
        </w:rPr>
        <w:t>（W）</w:t>
      </w:r>
      <w:bookmarkEnd w:id="208"/>
      <w:bookmarkEnd w:id="209"/>
      <w:bookmarkEnd w:id="210"/>
      <w:bookmarkEnd w:id="211"/>
      <w:bookmarkEnd w:id="212"/>
    </w:p>
    <w:p w14:paraId="0612BCA2">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13" w:name="_Toc192675879"/>
      <w:bookmarkStart w:id="214" w:name="_Toc134813033"/>
      <w:bookmarkStart w:id="215" w:name="_Toc134813170"/>
      <w:bookmarkStart w:id="216" w:name="_Toc134813307"/>
      <w:bookmarkStart w:id="217" w:name="_Toc134812671"/>
      <w:r>
        <w:rPr>
          <w:rFonts w:ascii="Times New Roman" w:hAnsi="Times New Roman" w:eastAsia="黑体"/>
          <w:b/>
          <w:color w:val="000000" w:themeColor="text1"/>
          <w:sz w:val="30"/>
          <w:szCs w:val="30"/>
          <w14:textFill>
            <w14:solidFill>
              <w14:schemeClr w14:val="tx1"/>
            </w14:solidFill>
          </w14:textFill>
        </w:rPr>
        <w:t>水资源不足</w:t>
      </w:r>
      <w:bookmarkEnd w:id="213"/>
      <w:bookmarkEnd w:id="214"/>
      <w:bookmarkEnd w:id="215"/>
      <w:bookmarkEnd w:id="216"/>
      <w:bookmarkEnd w:id="217"/>
    </w:p>
    <w:p w14:paraId="705F442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包头是我国严重缺水的地区之一，市域水资源主要由当地地表水、地下水和黄河水资源三部分组成。包头地区水资源较贫乏，人均水资源可利用量为172.08立方米/人。</w:t>
      </w:r>
    </w:p>
    <w:p w14:paraId="36A3B651">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园区地表水资源主要是由山体冲沟和防洪沟组成。北部为东达沟、银匠沟、本坝沟、大庙沟、本四截洪沟。南部的二道沙河、四道沙河所构成。东达沟和银匠沟为四道沙河上游，本坝沟和大庙沟为二道沙河上游。</w:t>
      </w:r>
    </w:p>
    <w:p w14:paraId="33FC8E74">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18" w:name="_Toc192675880"/>
      <w:bookmarkStart w:id="219" w:name="_Toc134813172"/>
      <w:bookmarkStart w:id="220" w:name="_Toc134813035"/>
      <w:bookmarkStart w:id="221" w:name="_Toc134813309"/>
      <w:bookmarkStart w:id="222" w:name="_Toc134812673"/>
      <w:r>
        <w:rPr>
          <w:rFonts w:ascii="Times New Roman" w:hAnsi="Times New Roman" w:eastAsia="黑体"/>
          <w:b/>
          <w:color w:val="000000" w:themeColor="text1"/>
          <w:sz w:val="30"/>
          <w:szCs w:val="30"/>
          <w14:textFill>
            <w14:solidFill>
              <w14:schemeClr w14:val="tx1"/>
            </w14:solidFill>
          </w14:textFill>
        </w:rPr>
        <w:t>碳排放制约</w:t>
      </w:r>
      <w:bookmarkEnd w:id="218"/>
      <w:bookmarkEnd w:id="219"/>
      <w:bookmarkEnd w:id="220"/>
      <w:bookmarkEnd w:id="221"/>
      <w:bookmarkEnd w:id="222"/>
    </w:p>
    <w:p w14:paraId="303F311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包头地区的工业的快速增长和城市化进程的加剧都增加了碳排放的来源。降低二氧化碳排放浓度将成为地区所面临的重大环境挑战之一，若缺乏合理的战略规划，将阻碍包头地区未来经济、社会以及环境的发展。</w:t>
      </w:r>
    </w:p>
    <w:p w14:paraId="17A04325">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23" w:name="_Toc134813036"/>
      <w:bookmarkStart w:id="224" w:name="_Toc192675881"/>
      <w:bookmarkStart w:id="225" w:name="_Toc134813173"/>
      <w:bookmarkStart w:id="226" w:name="_Toc134813310"/>
      <w:bookmarkStart w:id="227" w:name="_Toc134812674"/>
      <w:r>
        <w:rPr>
          <w:rFonts w:ascii="Times New Roman" w:hAnsi="Times New Roman" w:eastAsia="黑体"/>
          <w:b/>
          <w:color w:val="000000" w:themeColor="text1"/>
          <w:sz w:val="30"/>
          <w:szCs w:val="30"/>
          <w14:textFill>
            <w14:solidFill>
              <w14:schemeClr w14:val="tx1"/>
            </w14:solidFill>
          </w14:textFill>
        </w:rPr>
        <w:t>市场因素的制约</w:t>
      </w:r>
      <w:bookmarkEnd w:id="223"/>
      <w:bookmarkEnd w:id="224"/>
      <w:bookmarkEnd w:id="225"/>
      <w:bookmarkEnd w:id="226"/>
      <w:bookmarkEnd w:id="227"/>
    </w:p>
    <w:p w14:paraId="29524B3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内蒙古自治区地处我国最北部，目前还属于西部欠发达地区，而我国产品的消费市场大部分位于华东、华南地区，因此将来产品距离市场较远和运输成本高是不利因素。为实现相关产业向资源、能源富集地区转移、聚集的优势原则，当地应加强招商引资力度，吸引终端制造企业前来投资建厂，逐渐建立及发展产品应用市场，走以市场带动产业的发展路线。</w:t>
      </w:r>
    </w:p>
    <w:p w14:paraId="6012A7C8">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28" w:name="_Toc192675882"/>
      <w:bookmarkStart w:id="229" w:name="_Toc134813311"/>
      <w:bookmarkStart w:id="230" w:name="_Toc134813174"/>
      <w:bookmarkStart w:id="231" w:name="_Toc134812675"/>
      <w:bookmarkStart w:id="232" w:name="_Toc134813037"/>
      <w:r>
        <w:rPr>
          <w:rFonts w:ascii="Times New Roman" w:hAnsi="Times New Roman" w:eastAsia="黑体"/>
          <w:b/>
          <w:color w:val="000000" w:themeColor="text1"/>
          <w:sz w:val="30"/>
          <w:szCs w:val="30"/>
          <w14:textFill>
            <w14:solidFill>
              <w14:schemeClr w14:val="tx1"/>
            </w14:solidFill>
          </w14:textFill>
        </w:rPr>
        <w:t>招商引资难度增加</w:t>
      </w:r>
      <w:bookmarkEnd w:id="228"/>
      <w:bookmarkEnd w:id="229"/>
      <w:bookmarkEnd w:id="230"/>
      <w:bookmarkEnd w:id="231"/>
      <w:bookmarkEnd w:id="232"/>
      <w:r>
        <w:rPr>
          <w:rFonts w:ascii="Times New Roman" w:hAnsi="Times New Roman" w:eastAsia="黑体"/>
          <w:b/>
          <w:color w:val="000000" w:themeColor="text1"/>
          <w:sz w:val="30"/>
          <w:szCs w:val="30"/>
          <w14:textFill>
            <w14:solidFill>
              <w14:schemeClr w14:val="tx1"/>
            </w14:solidFill>
          </w14:textFill>
        </w:rPr>
        <w:t xml:space="preserve"> </w:t>
      </w:r>
    </w:p>
    <w:p w14:paraId="35CAEB2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随着招商竞争的日趋激烈，各地为了吸引投资者，纷纷出台了各种优惠政策。这些政策包括税收减免、土地优惠、人才招聘支持、资金扶持等，可谓是力所能及，甚至超出了一些地方政府的实际负担能力。</w:t>
      </w:r>
    </w:p>
    <w:p w14:paraId="671D3D92">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由于各地政府力争招商引资，使得投资者的选择面越来越广。投资者在选择投资项目时往往会比较各地的优惠政策和投资环境，这使得地方政府必须不断提高自身的招商能力和服务水平，以与其他竞争对手相比较。这无疑增加了地方政府的工作难度和引资的风险。</w:t>
      </w:r>
    </w:p>
    <w:p w14:paraId="45A2C5FF">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233" w:name="_Toc417156759"/>
      <w:bookmarkStart w:id="234" w:name="_Toc417156847"/>
      <w:bookmarkStart w:id="235" w:name="_Toc417157134"/>
      <w:bookmarkStart w:id="236" w:name="_Toc417157215"/>
      <w:bookmarkStart w:id="237" w:name="_Toc134813175"/>
      <w:bookmarkStart w:id="238" w:name="_Toc192675883"/>
      <w:bookmarkStart w:id="239" w:name="_Toc134812676"/>
      <w:bookmarkStart w:id="240" w:name="_Toc134813038"/>
      <w:bookmarkStart w:id="241" w:name="_Toc134813312"/>
      <w:r>
        <w:rPr>
          <w:rFonts w:ascii="Times New Roman" w:hAnsi="Times New Roman" w:eastAsia="黑体"/>
          <w:b/>
          <w:color w:val="000000" w:themeColor="text1"/>
          <w:sz w:val="30"/>
          <w:szCs w:val="30"/>
          <w14:textFill>
            <w14:solidFill>
              <w14:schemeClr w14:val="tx1"/>
            </w14:solidFill>
          </w14:textFill>
        </w:rPr>
        <w:t>机遇分析</w:t>
      </w:r>
      <w:bookmarkEnd w:id="233"/>
      <w:bookmarkEnd w:id="234"/>
      <w:bookmarkEnd w:id="235"/>
      <w:bookmarkEnd w:id="236"/>
      <w:r>
        <w:rPr>
          <w:rFonts w:ascii="Times New Roman" w:hAnsi="Times New Roman" w:eastAsia="黑体"/>
          <w:b/>
          <w:color w:val="000000" w:themeColor="text1"/>
          <w:sz w:val="30"/>
          <w:szCs w:val="30"/>
          <w14:textFill>
            <w14:solidFill>
              <w14:schemeClr w14:val="tx1"/>
            </w14:solidFill>
          </w14:textFill>
        </w:rPr>
        <w:t>（O）</w:t>
      </w:r>
      <w:bookmarkEnd w:id="237"/>
      <w:bookmarkEnd w:id="238"/>
      <w:bookmarkEnd w:id="239"/>
      <w:bookmarkEnd w:id="240"/>
      <w:bookmarkEnd w:id="241"/>
    </w:p>
    <w:p w14:paraId="1406C123">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42" w:name="_Toc192675884"/>
      <w:r>
        <w:rPr>
          <w:rFonts w:ascii="Times New Roman" w:hAnsi="Times New Roman" w:eastAsia="黑体"/>
          <w:b/>
          <w:color w:val="000000" w:themeColor="text1"/>
          <w:sz w:val="30"/>
          <w:szCs w:val="30"/>
          <w14:textFill>
            <w14:solidFill>
              <w14:schemeClr w14:val="tx1"/>
            </w14:solidFill>
          </w14:textFill>
        </w:rPr>
        <w:t>新一轮科技革命和产业变革方兴未艾</w:t>
      </w:r>
      <w:bookmarkEnd w:id="242"/>
    </w:p>
    <w:p w14:paraId="037BC7DF">
      <w:pPr>
        <w:snapToGrid w:val="0"/>
        <w:ind w:firstLine="560"/>
        <w:rPr>
          <w:color w:val="000000" w:themeColor="text1"/>
          <w14:textFill>
            <w14:solidFill>
              <w14:schemeClr w14:val="tx1"/>
            </w14:solidFill>
          </w14:textFill>
        </w:rPr>
      </w:pPr>
      <w:bookmarkStart w:id="243" w:name="_Toc417157216"/>
      <w:bookmarkStart w:id="244" w:name="_Toc417157135"/>
      <w:bookmarkStart w:id="245" w:name="_Toc417156760"/>
      <w:bookmarkStart w:id="246" w:name="_Toc417156848"/>
      <w:r>
        <w:rPr>
          <w:color w:val="000000" w:themeColor="text1"/>
          <w14:textFill>
            <w14:solidFill>
              <w14:schemeClr w14:val="tx1"/>
            </w14:solidFill>
          </w14:textFill>
        </w:rPr>
        <w:t>新一轮科技革命与产业变革正深入推进，深刻影响着经济社会运行方式、竞争模式和发展趋势。要抢抓新一轮科技革命和产业变革机遇，深入实施创新驱动发展战略，加速推进新型工业化进程。园区工业发展已迈出坚实步伐，“十四五”期间进一步强化科技创新、数字赋能，促进战略性新兴产业跃迁崛起，推动产业向高端化、绿色化、数字化转型升级，为园区制造业高质量可持续发展提供强大科技创新驱动力。</w:t>
      </w:r>
    </w:p>
    <w:p w14:paraId="5A18C818">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47" w:name="_Toc192675885"/>
      <w:r>
        <w:rPr>
          <w:rFonts w:ascii="Times New Roman" w:hAnsi="Times New Roman" w:eastAsia="黑体"/>
          <w:b/>
          <w:color w:val="000000" w:themeColor="text1"/>
          <w:sz w:val="30"/>
          <w:szCs w:val="30"/>
          <w14:textFill>
            <w14:solidFill>
              <w14:schemeClr w14:val="tx1"/>
            </w14:solidFill>
          </w14:textFill>
        </w:rPr>
        <w:t>“双循环”战略加速形成工业开放新发展格局</w:t>
      </w:r>
      <w:bookmarkEnd w:id="247"/>
    </w:p>
    <w:p w14:paraId="74A2957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国内大循环为主体、国内国际双循环相互促进的双循环战略是我国应对逆全球化的重要举措，不仅将推动形成强有力的国内供应链，同时也会推动产业转移进程，为园区抢抓新能源、新材料等战略性新兴产业提供战略机遇。以中西部应用场景为依托，积极发展壮大国内价值链；大力发展新能源装备制造、新材料等产业，参与全球价值链，形成以“壮链扩群”为路径的国内价值链和全球价值链双链良性循环，是园区未来一段时间工业经济发展的重要路径。</w:t>
      </w:r>
      <w:bookmarkEnd w:id="243"/>
      <w:bookmarkEnd w:id="244"/>
      <w:bookmarkEnd w:id="245"/>
      <w:bookmarkEnd w:id="246"/>
    </w:p>
    <w:p w14:paraId="0DAD955C">
      <w:pPr>
        <w:snapToGrid w:val="0"/>
        <w:ind w:firstLine="560"/>
        <w:rPr>
          <w:rFonts w:hint="eastAsia"/>
          <w:color w:val="000000" w:themeColor="text1"/>
          <w14:textFill>
            <w14:solidFill>
              <w14:schemeClr w14:val="tx1"/>
            </w14:solidFill>
          </w14:textFill>
        </w:rPr>
      </w:pPr>
    </w:p>
    <w:p w14:paraId="59A99AE1">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48" w:name="_Toc134813179"/>
      <w:bookmarkStart w:id="249" w:name="_Toc134813042"/>
      <w:bookmarkStart w:id="250" w:name="_Toc134812680"/>
      <w:bookmarkStart w:id="251" w:name="_Toc134813316"/>
      <w:bookmarkStart w:id="252" w:name="_Toc192675886"/>
      <w:r>
        <w:rPr>
          <w:rFonts w:ascii="Times New Roman" w:hAnsi="Times New Roman" w:eastAsia="黑体"/>
          <w:b/>
          <w:color w:val="000000" w:themeColor="text1"/>
          <w:sz w:val="30"/>
          <w:szCs w:val="30"/>
          <w14:textFill>
            <w14:solidFill>
              <w14:schemeClr w14:val="tx1"/>
            </w14:solidFill>
          </w14:textFill>
        </w:rPr>
        <w:t>战略性新型产业发展带来的机遇</w:t>
      </w:r>
      <w:bookmarkEnd w:id="248"/>
      <w:bookmarkEnd w:id="249"/>
      <w:bookmarkEnd w:id="250"/>
      <w:bookmarkEnd w:id="251"/>
      <w:bookmarkEnd w:id="252"/>
    </w:p>
    <w:p w14:paraId="37318A3E">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1. 产业升级和转型：战略性新型产业的发展促使包头装备制造产业园从传统装备制造业转型为高端装备制造业。新兴产业的发展带来了高附加值和高技术含量的装备需求，推动了园区企业升级和技术创新，提升了整个园区的竞争力和发展水平。</w:t>
      </w:r>
    </w:p>
    <w:p w14:paraId="74E42CE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2. 就业机会增加：战略性新型产业的发展通常需要大量的专业人才，为园区提供了更多的就业机会。新兴产业的发展需要研发人员、工程师、技术人员等高素质人才，这些人才将为园区企业提供支持，并为园区创造更多的就业岗位。</w:t>
      </w:r>
    </w:p>
    <w:p w14:paraId="20BB3B7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3. 促进产业链的发展：战略性新型产业的发展需要建立完整的产业链条，涉及原材料供应、零部件制造、装备集成和售后服务等环节。这将推动包头装备制造产业园与相关产业链环节的合作和发展，促进整个产业链的成熟和协同发展。</w:t>
      </w:r>
    </w:p>
    <w:p w14:paraId="6EC3513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4. 增加科技创新和研发投入：战略性新型产业的发展通常需要大量的研发投入和科技创新。为了满足新兴产业的需求，园区企业将加大科研力度和研发投入，推动科技创新，提高技术水平和创新能力。</w:t>
      </w:r>
    </w:p>
    <w:p w14:paraId="7E3EDE75">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5. 引领地方经济发展：战略性新型产业的发展将成为包头装备制造产业园的一张亮丽名片，引领和带动了地方经济的发展。园区企业的崛起将吸引更多的投资和人才，带动周边产业的发展，推动包头市的经济繁荣和城市形象的提升。</w:t>
      </w:r>
    </w:p>
    <w:p w14:paraId="04E6E9ED">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53" w:name="_Toc511652188"/>
      <w:bookmarkStart w:id="254" w:name="_Toc192675887"/>
      <w:bookmarkStart w:id="255" w:name="_Toc134812681"/>
      <w:bookmarkStart w:id="256" w:name="_Toc134813317"/>
      <w:bookmarkStart w:id="257" w:name="_Toc134813043"/>
      <w:bookmarkStart w:id="258" w:name="_Toc134813180"/>
      <w:r>
        <w:rPr>
          <w:rFonts w:ascii="Times New Roman" w:hAnsi="Times New Roman" w:eastAsia="黑体"/>
          <w:b/>
          <w:color w:val="000000" w:themeColor="text1"/>
          <w:sz w:val="30"/>
          <w:szCs w:val="30"/>
          <w14:textFill>
            <w14:solidFill>
              <w14:schemeClr w14:val="tx1"/>
            </w14:solidFill>
          </w14:textFill>
        </w:rPr>
        <w:t>中西部地区承接产业转移的战略机遇</w:t>
      </w:r>
      <w:bookmarkEnd w:id="253"/>
      <w:bookmarkEnd w:id="254"/>
      <w:bookmarkEnd w:id="255"/>
      <w:bookmarkEnd w:id="256"/>
      <w:bookmarkEnd w:id="257"/>
      <w:bookmarkEnd w:id="258"/>
    </w:p>
    <w:p w14:paraId="7DDAE437">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 xml:space="preserve">为了加快推进承接产业转移步伐，内蒙古自治区出台了《内蒙古自治区人民政府关于做好承接发达地区产业转移的指导意见》，包头市为了更好地贯彻落实该意见，结合包头市实际，制定了《包头承接结合地区发展产业转移实施方案（试行）》文件。该文件明确提出了包头市域范围内承接产业转移的重点产业类型和具体的承接地，这为青山区的经济发展，国民生活水平的提高提供了良好的发展机遇。 </w:t>
      </w:r>
    </w:p>
    <w:p w14:paraId="1F7AC516">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59" w:name="_Toc417156850"/>
      <w:bookmarkStart w:id="260" w:name="_Toc417157137"/>
      <w:bookmarkStart w:id="261" w:name="_Toc417156762"/>
      <w:bookmarkStart w:id="262" w:name="_Toc134813318"/>
      <w:bookmarkStart w:id="263" w:name="_Toc134813044"/>
      <w:bookmarkStart w:id="264" w:name="_Toc134812682"/>
      <w:bookmarkStart w:id="265" w:name="_Toc192675888"/>
      <w:bookmarkStart w:id="266" w:name="_Toc511652189"/>
      <w:bookmarkStart w:id="267" w:name="_Toc417157218"/>
      <w:bookmarkStart w:id="268" w:name="_Toc134813181"/>
      <w:r>
        <w:rPr>
          <w:rFonts w:ascii="Times New Roman" w:hAnsi="Times New Roman" w:eastAsia="黑体"/>
          <w:b/>
          <w:color w:val="000000" w:themeColor="text1"/>
          <w:sz w:val="30"/>
          <w:szCs w:val="30"/>
          <w14:textFill>
            <w14:solidFill>
              <w14:schemeClr w14:val="tx1"/>
            </w14:solidFill>
          </w14:textFill>
        </w:rPr>
        <w:t>以呼包鄂为核心沿黄河沿交通干线经济带建设的战略机遇</w:t>
      </w:r>
      <w:bookmarkEnd w:id="259"/>
      <w:bookmarkEnd w:id="260"/>
      <w:bookmarkEnd w:id="261"/>
      <w:bookmarkEnd w:id="262"/>
      <w:bookmarkEnd w:id="263"/>
      <w:bookmarkEnd w:id="264"/>
      <w:bookmarkEnd w:id="265"/>
      <w:bookmarkEnd w:id="266"/>
      <w:bookmarkEnd w:id="267"/>
      <w:bookmarkEnd w:id="268"/>
    </w:p>
    <w:p w14:paraId="08063519">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沿黄沿线经济带位于全国“两横三纵”城市化战略格局包昆纵轴的北端，覆盖呼和浩特、包头、鄂尔多斯、乌兰察布、巴彦淖尔、乌海和阿拉善盟的沿黄河、沿交通干线的39个旗县市区。《内蒙古自治区以呼包鄂为核心沿黄河沿交通干线经济带重点产业发展规划》强调指出要重点推动产业集中区和工业园区建设，形成优势特色产业、战略性新兴产业、现代服务业集聚区，构筑以呼包鄂为核心，沿黄河、沿交通干线为主要产业发展带，打造西部地区崛起的重要增长极。《规划》出炉后，内蒙古西部7盟市打破行政边界，加强资源要素整合，开始了一场以体制机制创新为引领的转型发展。近年来，自治区举全力打造了22个沿黄河沿交通干线重点工业园区，集中布局以能源、化工、农畜产品加工、装备制造、高新技术等优势特色产业，形成了一批在国内乃至世界有影响力的规模化大型基地，园区位于沿黄沿线经济带，也为园区产业融合及产业承接创造了极好的发展环境，提供了良好的发展机遇。</w:t>
      </w:r>
    </w:p>
    <w:p w14:paraId="3BFC12AB">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69" w:name="_Toc134813045"/>
      <w:bookmarkStart w:id="270" w:name="_Toc192675889"/>
      <w:bookmarkStart w:id="271" w:name="_Toc134813319"/>
      <w:bookmarkStart w:id="272" w:name="_Toc134813182"/>
      <w:bookmarkStart w:id="273" w:name="_Toc134812683"/>
      <w:r>
        <w:rPr>
          <w:rFonts w:ascii="Times New Roman" w:hAnsi="Times New Roman" w:eastAsia="黑体"/>
          <w:b/>
          <w:color w:val="000000" w:themeColor="text1"/>
          <w:sz w:val="30"/>
          <w:szCs w:val="30"/>
          <w14:textFill>
            <w14:solidFill>
              <w14:schemeClr w14:val="tx1"/>
            </w14:solidFill>
          </w14:textFill>
        </w:rPr>
        <w:t>黄河流域生态保护和高质量发展带来的机遇</w:t>
      </w:r>
      <w:bookmarkEnd w:id="269"/>
      <w:bookmarkEnd w:id="270"/>
      <w:bookmarkEnd w:id="271"/>
      <w:bookmarkEnd w:id="272"/>
      <w:bookmarkEnd w:id="273"/>
    </w:p>
    <w:p w14:paraId="75ED7C4A">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黄河流域是我国重要的经济地带，黄淮海平原、汾渭平原、河套灌区是农产品主产区，粮食和肉类产量占全国三分之一左右。黄河流域又被称为“能源流域”，煤炭、石油、天然气和有色金属资源丰富，煤炭储量占全国一半以上，是我国重要的能源、化工、原材料和基础工业基地。</w:t>
      </w:r>
    </w:p>
    <w:p w14:paraId="54CDD99B">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习近平总书记对于黄河流域的生态保护和高质量发展非常重视，在多次亲临黄河流域各省区实地考察并作出一系列指示后，于2019年9月18日在河南郑州召开了黄河流域生态保护和高质量发展座谈会，并发表了重要讲话。确定把黄河流域生态保护和高质量发展，同京津冀协同发展、长江经济带发展、粤港澳大湾区建设、长三角一体化发展等一样上升为重大国家战略，并提出了具体工作要求。即坚持山水林田湖草沙综合治理、系统治理、源头治理，坚持生态优先、绿色发展，以水而定、量水而行，因地制宜、分类施策，上下游、干支流、左右岸统筹谋划，共同抓好大保护，协同推进大治理，保障黄河长治久安、全流域高质量发展、改善人民群众生活，让黄河成为造福人民的幸福河。落实总书记讲话，国家层面编制了《黄河流域生态保护和高质量发展规划纲要》，提出的重点任务包括：因地制宜地改善黄河流域生态环境，把水资源作为最大的刚性约束推进黄河水资源集约节约利用，着眼长远地完善黄河水旱灾害防灾减灾体系等。建设特色优势现代产业体系，优化城市发展格局，推进乡村振兴，大力保护和弘扬黄河文化等。并要求落实沿黄各省区和有关部门的主体责任，加快制定实施具体规划、实施方案和政策体系，努力在“十四五”期间取得明显进展。</w:t>
      </w:r>
    </w:p>
    <w:p w14:paraId="6FB9F7DC">
      <w:pPr>
        <w:snapToGrid w:val="0"/>
        <w:ind w:firstLine="560"/>
        <w:rPr>
          <w:color w:val="000000" w:themeColor="text1"/>
          <w14:textFill>
            <w14:solidFill>
              <w14:schemeClr w14:val="tx1"/>
            </w14:solidFill>
          </w14:textFill>
        </w:rPr>
      </w:pPr>
      <w:r>
        <w:rPr>
          <w:color w:val="000000" w:themeColor="text1"/>
          <w14:textFill>
            <w14:solidFill>
              <w14:schemeClr w14:val="tx1"/>
            </w14:solidFill>
          </w14:textFill>
        </w:rPr>
        <w:t>推动黄河流域高质量发展，要支持各地区发挥比较优势，构建高质量发展的动力系统。沿黄河各地区要从实际出发，宜水则水、宜山则山，宜粮则粮、宜农则农，宜工则工、宜商则商，积极探索富有地域特色的高质量发展新路子。区域中心城市等经济发展条件好的地区要集约发展，提高经济和人口承载能力。园区位于沿黄沿线经济带，实现园区集约式发展，配套完善的基础设施，打造符合黄河流域高质量发展的特色园区，提升园区竞争力，为园区发展提供新的机遇。</w:t>
      </w:r>
    </w:p>
    <w:p w14:paraId="215B5EB8">
      <w:pPr>
        <w:snapToGrid w:val="0"/>
        <w:ind w:firstLine="560"/>
        <w:rPr>
          <w:color w:val="000000" w:themeColor="text1"/>
          <w14:textFill>
            <w14:solidFill>
              <w14:schemeClr w14:val="tx1"/>
            </w14:solidFill>
          </w14:textFill>
        </w:rPr>
      </w:pPr>
    </w:p>
    <w:p w14:paraId="6DA82695">
      <w:pPr>
        <w:snapToGrid w:val="0"/>
        <w:ind w:firstLine="560"/>
        <w:rPr>
          <w:rFonts w:hint="eastAsia"/>
          <w:color w:val="000000" w:themeColor="text1"/>
          <w14:textFill>
            <w14:solidFill>
              <w14:schemeClr w14:val="tx1"/>
            </w14:solidFill>
          </w14:textFill>
        </w:rPr>
      </w:pPr>
    </w:p>
    <w:p w14:paraId="26A8F518">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74" w:name="_Toc417157220"/>
      <w:bookmarkStart w:id="275" w:name="_Toc417156852"/>
      <w:bookmarkStart w:id="276" w:name="_Toc417156764"/>
      <w:bookmarkStart w:id="277" w:name="_Toc134813320"/>
      <w:bookmarkStart w:id="278" w:name="_Toc192675890"/>
      <w:bookmarkStart w:id="279" w:name="_Toc417157139"/>
      <w:bookmarkStart w:id="280" w:name="_Toc134813183"/>
      <w:bookmarkStart w:id="281" w:name="_Toc134812684"/>
      <w:bookmarkStart w:id="282" w:name="_Toc134813046"/>
      <w:r>
        <w:rPr>
          <w:rFonts w:ascii="Times New Roman" w:hAnsi="Times New Roman" w:eastAsia="黑体"/>
          <w:b/>
          <w:color w:val="000000" w:themeColor="text1"/>
          <w:sz w:val="30"/>
          <w:szCs w:val="30"/>
          <w14:textFill>
            <w14:solidFill>
              <w14:schemeClr w14:val="tx1"/>
            </w14:solidFill>
          </w14:textFill>
        </w:rPr>
        <w:t>自治区政府促进经济发展的机遇</w:t>
      </w:r>
      <w:bookmarkEnd w:id="274"/>
      <w:bookmarkEnd w:id="275"/>
      <w:bookmarkEnd w:id="276"/>
      <w:bookmarkEnd w:id="277"/>
      <w:bookmarkEnd w:id="278"/>
      <w:bookmarkEnd w:id="279"/>
      <w:bookmarkEnd w:id="280"/>
      <w:bookmarkEnd w:id="281"/>
      <w:bookmarkEnd w:id="282"/>
    </w:p>
    <w:p w14:paraId="13E1AD43">
      <w:pPr>
        <w:pStyle w:val="269"/>
        <w:ind w:firstLine="560"/>
      </w:pPr>
      <w:r>
        <w:t>内蒙古自治区提出了全区经济社会发展的主要目标是综合经济实力实现新跨越、深化改革开放实现新突破、经济发展方式实现新转变等。</w:t>
      </w:r>
    </w:p>
    <w:p w14:paraId="74D4A8D4">
      <w:pPr>
        <w:pStyle w:val="269"/>
        <w:ind w:firstLine="560"/>
      </w:pPr>
      <w:r>
        <w:t>加快推动经济转型升级：以供给侧结构性改革为主线，以转型升级为主攻方向，以建设国家重要能源基地、新型化工基地、有色金属生产加工基地、绿色农畜产品生产加工基地、</w:t>
      </w:r>
      <w:r>
        <w:rPr>
          <w:b/>
        </w:rPr>
        <w:t>战略性新兴产业基地</w:t>
      </w:r>
      <w:r>
        <w:t>为重要抓手，着力转变发展方式、转换发展动能。</w:t>
      </w:r>
    </w:p>
    <w:p w14:paraId="70E4A52E">
      <w:pPr>
        <w:pStyle w:val="269"/>
        <w:ind w:firstLine="560"/>
        <w:rPr>
          <w:b/>
        </w:rPr>
      </w:pPr>
      <w:r>
        <w:t>推进产业结构战略性调整：坚持发挥优势和补齐短板一起做、调整存量和做优增量同步抓，着力推动自治区产业向高端化、智能化、绿色化、服务化方向发展。更加注重运用高新技术和先进适用技术改造提升</w:t>
      </w:r>
      <w:r>
        <w:rPr>
          <w:b/>
        </w:rPr>
        <w:t>能源、</w:t>
      </w:r>
      <w:r>
        <w:t>化工、冶金、建材、</w:t>
      </w:r>
      <w:r>
        <w:rPr>
          <w:b/>
        </w:rPr>
        <w:t>装备制造</w:t>
      </w:r>
      <w:r>
        <w:t>、农畜产品加工等产业，让传统产业焕发新活力、增强竞争力。更加注重立足现有基础和优势，加快培育打造</w:t>
      </w:r>
      <w:r>
        <w:rPr>
          <w:b/>
        </w:rPr>
        <w:t>新能源、新材料、节能环保、高端装备等战略性新兴产业</w:t>
      </w:r>
      <w:r>
        <w:t>。</w:t>
      </w:r>
      <w:r>
        <w:rPr>
          <w:b/>
        </w:rPr>
        <w:t>下大气力推进园区、开发区转型升级，打造更多百亿企业与千亿园区，促进产业集中集聚发展。</w:t>
      </w:r>
    </w:p>
    <w:p w14:paraId="16D7A63E">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83" w:name="_Toc192675891"/>
      <w:bookmarkStart w:id="284" w:name="_Toc134812685"/>
      <w:bookmarkStart w:id="285" w:name="_Toc134813184"/>
      <w:bookmarkStart w:id="286" w:name="_Toc134813321"/>
      <w:bookmarkStart w:id="287" w:name="_Toc134813047"/>
      <w:r>
        <w:rPr>
          <w:rFonts w:ascii="Times New Roman" w:hAnsi="Times New Roman" w:eastAsia="黑体"/>
          <w:b/>
          <w:color w:val="000000" w:themeColor="text1"/>
          <w:sz w:val="30"/>
          <w:szCs w:val="30"/>
          <w14:textFill>
            <w14:solidFill>
              <w14:schemeClr w14:val="tx1"/>
            </w14:solidFill>
          </w14:textFill>
        </w:rPr>
        <w:t>包头市政府促进经济发展的机遇</w:t>
      </w:r>
      <w:bookmarkEnd w:id="283"/>
      <w:bookmarkEnd w:id="284"/>
      <w:bookmarkEnd w:id="285"/>
      <w:bookmarkEnd w:id="286"/>
      <w:bookmarkEnd w:id="287"/>
    </w:p>
    <w:p w14:paraId="43BBDB69">
      <w:pPr>
        <w:pStyle w:val="269"/>
        <w:ind w:firstLine="560"/>
      </w:pPr>
      <w:bookmarkStart w:id="288" w:name="_Toc417156765"/>
      <w:bookmarkStart w:id="289" w:name="_Toc417157221"/>
      <w:bookmarkStart w:id="290" w:name="_Toc417156853"/>
      <w:bookmarkStart w:id="291" w:name="_Toc417157140"/>
      <w:r>
        <w:t xml:space="preserve"> “十四五”时期我市高举中国特色社会主义伟大旗帜，深入贯彻党的十九大和十九届二中、三中、四中、五中全会精神，全面落实习近平总书记对内蒙古重要讲话重要指示批示精神，全面贯彻党的基本理论、基本路线、基本方略，统筹推进“五位一体”总体布局，协调推进“四个全面”战略布局，坚持党的全面领导，坚持以人民为中心，坚持新发展理念，坚持深化改革开放，坚持系统观念，坚持稳中求进工作总基调，以推动高质量发展为主题，以深化供给侧结构性改革为主线，以改革创新为根本动力，以满足人民群众日益增长的美好生活需要为根本目的，统筹发展和安全，坚定不移走以生态优先、绿色发展为导向的高质量发展新路子，服务融入新发展格局，加快建设现代化经济体系，推进城乡治理体系和治理能力现代化，促进各民族团结进步，努力把包头建设成为富有影响力的区域性经济中心城市，</w:t>
      </w:r>
    </w:p>
    <w:p w14:paraId="7DA5B832">
      <w:pPr>
        <w:pStyle w:val="269"/>
        <w:ind w:firstLine="560"/>
      </w:pPr>
      <w:r>
        <w:t>承接自治区“两个屏障”“两个基地”“一个桥头堡”战略定位和主体功能区定位，立足我市实际，推动转方式同调整优化产业结构、延长资源型产业链、创新驱动发展、节能减排、全面深化改革开放相结合，聚焦锻造长板、补齐短板，加快质量变革、效率变革、动力变革，大力培育新产业、新动能、新增长极，突出建设“四基地两中心一高地一体系”，建成一批有影响力的产业链供应链完整链条和有控制力的创新链价值链关键环节，增强我市发展对外的辐射带动功能和对内集合集聚作用，基本形成多元发展、多极支撑的现代产业体系和优势突出、结构合理、创新驱动、区域协调、城乡一体的发展新格局，现代化经济体系建设取得重大进展，成为全区高质量发展的先行者、示范区、驱动器。</w:t>
      </w:r>
    </w:p>
    <w:p w14:paraId="16CDC12D">
      <w:pPr>
        <w:pStyle w:val="269"/>
        <w:ind w:firstLine="560"/>
      </w:pPr>
      <w:r>
        <w:t>近年来，包头市充分发挥其在稀土和光伏产业领域的资源优势和产业基础，积极推动“世界稀土之都”和“世界绿色硅都”的建设。做大做强产业集群，将有利于促进产业结构升级、推动经济发展方式转变，为全国乃至全球提供绿色、可持续的发展解决方案。同时，这也有助于强化我国在全球稀土和光伏产业的影响力，服务国家发展战略。在稀土产业方面，包头市拥有世界级的储量优势，作为中国北方稀土的主要产区，包头市致力于实现稀土产业的高质量发展。加强战略资源的保护性开发、高质化利用和规范化管理，推动稀土产业向高端化、绿色化、智能化发展。在光伏产业方面，包头市凭借其产业规模全国最大的优势，积极打造“世界绿色硅都”。光伏产业作为清洁能源的重要组成部分，对于实现碳达峰、碳中和目标具有重要意义。包头市光伏产业的发展将有助于优化国家能源结构，提高可再生能源比重，推动绿色经济发展。</w:t>
      </w:r>
    </w:p>
    <w:p w14:paraId="7892E8CA">
      <w:pPr>
        <w:pStyle w:val="269"/>
        <w:ind w:firstLine="560"/>
      </w:pPr>
      <w:r>
        <w:t>建设全国重要的新型材料产业基地。推动采掘业和原材料工业高端化、智能化、绿色化转型，大力发展稀土新材料、先进钢铁材料、先进有色金属材料、先进化工新材料、先进无机非金属材料、高性能纤维及复合材料、前沿新材料等产业，完善与材料工业相配套的研发设计、检测检验、电子交易、质量标准、专利技术等服务体系，延长产业链条，做大做强若干个材料产业集群，推动我市优势材料产品进入全国乃至全球高端供应链体系，打造国内国际知名的新材料产业集群区域品牌。</w:t>
      </w:r>
    </w:p>
    <w:p w14:paraId="5F435968">
      <w:pPr>
        <w:pStyle w:val="269"/>
        <w:ind w:firstLine="560"/>
      </w:pPr>
      <w:r>
        <w:t>建设全国重要的现代能源产业基地。提高传统能源综合利用效率，抢抓新一轮能源革命机遇，以风能、太阳能、氢能、核能、煤层气为重点，围绕新能源的生产、相关设备和零部件制造、形成以新能源为支撑的绿色生产方式和生活方式、建设新能源产储供运销体系、新能源相关配套服务，形成“一揽子”解决方案，培育和引进一大批新兴企业和研发机构，做大产业集群，把我市打造成为新能源生产领域的领军者、新能源消费领域的先行者、绿色生产方式生活方式的践行者。</w:t>
      </w:r>
    </w:p>
    <w:p w14:paraId="1E62C883">
      <w:pPr>
        <w:pStyle w:val="269"/>
        <w:ind w:firstLine="560"/>
      </w:pPr>
      <w:r>
        <w:t>建设在全国有重要影响力的现代装备制造业基地。发挥我市制造优势、军工优势，加速装备制造业的智能化改造、数字化转型，大力发展通用和专用设备制造业，做强做优汽车制造业，提档升级铁路运输设备制造业，壮大电气机械和器材制造、通信设备制造、仪器仪表制造产业，加大军民融合力度，加快培育高端装备制造产业，扩大应急产业规模，拓展国防动员体系应用，推动优势领域产品竞争力进入全国领先行列，形成一批有影响力的产业集群、领航型企业和知名品牌。</w:t>
      </w:r>
    </w:p>
    <w:p w14:paraId="78D62FD4">
      <w:pPr>
        <w:pStyle w:val="269"/>
        <w:ind w:firstLine="560"/>
      </w:pPr>
      <w:r>
        <w:t>建设在全国有重要影响力的农畜食品产业基地。围绕粮食、油料、畜禽、饲料、菜薯、绒毛等农畜产品的生产、加工、仓储、物流、贸易、研发、会展、服务等各环节，加快一二三产业融合发展，打造多领域、全方位产业集群，以集群发展延伸产业链，以创新发展提升价值链，以融合发展打造供应链，推动农畜食品产业向规模化、数字化、高端化、标准化、品牌化、绿色化、国际化方向发展，打造在全国有重要影响力的绿色农畜食品产业生态圈。</w:t>
      </w:r>
    </w:p>
    <w:p w14:paraId="54807963">
      <w:pPr>
        <w:pStyle w:val="269"/>
        <w:ind w:firstLine="560"/>
      </w:pPr>
      <w:r>
        <w:t>建设区域性服务业中心。推动生产性服务业、生活性服务业、公共服务业按照便利、高端、品质的要求共同发力，扩大服务业市场主体数量、规模，加快服务业企业数字化改造，大力发展服务业总部经济，打造一批服务业龙头带动企业，形成一批服务业支柱产业，建成一批标准化、品牌化的现代服务业聚集区，构建优质高效、充满活力、竞争力强的现代服务业体系和多业并举、多态融合的服务型经济。</w:t>
      </w:r>
    </w:p>
    <w:p w14:paraId="34FA725C">
      <w:pPr>
        <w:pStyle w:val="269"/>
        <w:ind w:firstLine="560"/>
      </w:pPr>
      <w:r>
        <w:t>建设区域性创新中心。集聚各类创新资源，发挥好企业主体作用和高校、科研机构、人才作用，建设一批高水平的创新平台和载体，打造产学研深度融合的技术创新体系，开展重点领域关键核心技术攻关，加快科技创新成果转化应用，增强区域科技综合实力、自主创新能力，构建国家西部地区创新要素聚集区和技术成果转移转化辐射源，进入国家创新型城市前列。</w:t>
      </w:r>
    </w:p>
    <w:p w14:paraId="363CA8A9">
      <w:pPr>
        <w:pStyle w:val="269"/>
        <w:ind w:firstLine="560"/>
      </w:pPr>
      <w:r>
        <w:t>建设对外开放新高地。强化对外开放意识、政策、措施和工作，全面深度融入“一带一路”、中蒙俄经济走廊建设，突出推进向北开放，积极推进向西、向东开放。以建设自由贸易试验区、综合保税区、保税物流园区等开放平台为引领，以建设满都拉陆路口岸等开放载体为重点，构建集公路、铁路、航空、无水港等陆海空铁多式联运为支撑，物流、贸易、加工、商贸服务等多种业态相互支持的开放型经济体系。大力发展对外实物贸易，积极推进对外服务贸易；大力拓展利用外资，多领域吸引外资企业参与；大力开展工程承包、劳务输出等对外经济合作。积极扩大同友好国家城市间的文化教育旅游体育等多领域交流合作，积极扩大友好城市和经济合作伙伴关系城市等“朋友圈”。</w:t>
      </w:r>
    </w:p>
    <w:p w14:paraId="2939B0A5">
      <w:pPr>
        <w:pStyle w:val="269"/>
        <w:ind w:firstLine="560"/>
      </w:pPr>
      <w:r>
        <w:t>建设现代化经济体系。坚持质量第一、效益优先，把发展经济着力点放在实体经济上，以深化供给侧结构性改革为主线，提升产业链供应链现代化水平，积极改造提升传统产业，大力发展战略性新兴产业，加快发展现代服务业，统筹推进基础设施建设，加快数字化发展，着力加快建设实体经济、科技创新、现代金融、人力资源协同发展的现代产业体系，不断提高经济质量效益和核心竞争力，推动经济体系优化升级。充分发挥市场在资源配置中的决定性作用，更好发挥政府作用，构建高水平社会主义市场经济体制，推动有效市场和有为政府更好结合。</w:t>
      </w:r>
    </w:p>
    <w:p w14:paraId="24BAF111">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292" w:name="_Toc134813185"/>
      <w:bookmarkStart w:id="293" w:name="_Toc134813048"/>
      <w:bookmarkStart w:id="294" w:name="_Toc134812686"/>
      <w:bookmarkStart w:id="295" w:name="_Toc134813322"/>
      <w:bookmarkStart w:id="296" w:name="_Toc192675892"/>
      <w:r>
        <w:rPr>
          <w:rFonts w:ascii="Times New Roman" w:hAnsi="Times New Roman" w:eastAsia="黑体"/>
          <w:b/>
          <w:color w:val="000000" w:themeColor="text1"/>
          <w:sz w:val="30"/>
          <w:szCs w:val="30"/>
          <w14:textFill>
            <w14:solidFill>
              <w14:schemeClr w14:val="tx1"/>
            </w14:solidFill>
          </w14:textFill>
        </w:rPr>
        <w:t>挑战分析</w:t>
      </w:r>
      <w:bookmarkEnd w:id="288"/>
      <w:bookmarkEnd w:id="289"/>
      <w:bookmarkEnd w:id="290"/>
      <w:bookmarkEnd w:id="291"/>
      <w:r>
        <w:rPr>
          <w:rFonts w:ascii="Times New Roman" w:hAnsi="Times New Roman" w:eastAsia="黑体"/>
          <w:b/>
          <w:color w:val="000000" w:themeColor="text1"/>
          <w:sz w:val="30"/>
          <w:szCs w:val="30"/>
          <w14:textFill>
            <w14:solidFill>
              <w14:schemeClr w14:val="tx1"/>
            </w14:solidFill>
          </w14:textFill>
        </w:rPr>
        <w:t>（T）</w:t>
      </w:r>
      <w:bookmarkEnd w:id="292"/>
      <w:bookmarkEnd w:id="293"/>
      <w:bookmarkEnd w:id="294"/>
      <w:bookmarkEnd w:id="295"/>
      <w:bookmarkEnd w:id="296"/>
    </w:p>
    <w:p w14:paraId="50BAC860">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297" w:name="_Toc192675893"/>
      <w:bookmarkStart w:id="298" w:name="_Toc417156766"/>
      <w:bookmarkStart w:id="299" w:name="_Toc417156854"/>
      <w:bookmarkStart w:id="300" w:name="_Toc417157141"/>
      <w:bookmarkStart w:id="301" w:name="_Toc417157222"/>
      <w:r>
        <w:rPr>
          <w:rFonts w:ascii="Times New Roman" w:hAnsi="Times New Roman" w:eastAsia="黑体"/>
          <w:b/>
          <w:color w:val="000000" w:themeColor="text1"/>
          <w:sz w:val="30"/>
          <w:szCs w:val="30"/>
          <w14:textFill>
            <w14:solidFill>
              <w14:schemeClr w14:val="tx1"/>
            </w14:solidFill>
          </w14:textFill>
        </w:rPr>
        <w:t>经济下行压力加大</w:t>
      </w:r>
      <w:bookmarkEnd w:id="297"/>
    </w:p>
    <w:p w14:paraId="60052DA0">
      <w:pPr>
        <w:pStyle w:val="269"/>
        <w:ind w:firstLine="560"/>
      </w:pPr>
      <w:r>
        <w:t>我国经济发展面临“需求收缩、供给冲击、预期转弱”三重压力，同时外部环境更趋复杂严峻和不确定，当前经济内外部环境面临的挑战增加，经济下行压力加大，稳增长迫在眉睫。开发区以促产业发展应对外部环境不确定性面临较大挑战。</w:t>
      </w:r>
    </w:p>
    <w:p w14:paraId="6924969E">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02" w:name="_Toc192675894"/>
      <w:r>
        <w:rPr>
          <w:rFonts w:ascii="Times New Roman" w:hAnsi="Times New Roman" w:eastAsia="黑体"/>
          <w:b/>
          <w:color w:val="000000" w:themeColor="text1"/>
          <w:sz w:val="30"/>
          <w:szCs w:val="30"/>
          <w14:textFill>
            <w14:solidFill>
              <w14:schemeClr w14:val="tx1"/>
            </w14:solidFill>
          </w14:textFill>
        </w:rPr>
        <w:t>资源要素竞争更加激烈</w:t>
      </w:r>
      <w:bookmarkEnd w:id="302"/>
    </w:p>
    <w:p w14:paraId="134CA227">
      <w:pPr>
        <w:pStyle w:val="269"/>
        <w:ind w:firstLine="560"/>
      </w:pPr>
      <w:r>
        <w:t>全要素生产率提升是经济转向高质量发展重要路径，高端资源要素项目聚集是产业发展基石。自治区范围内呼包鄂乌城市群竞相发展，区域内资源、产业、企业、资金、人才等高端要素争夺日益加剧。</w:t>
      </w:r>
    </w:p>
    <w:p w14:paraId="1CF4528C">
      <w:pPr>
        <w:pStyle w:val="269"/>
        <w:ind w:firstLine="560"/>
        <w:rPr>
          <w:rFonts w:hint="eastAsia"/>
        </w:rPr>
      </w:pPr>
    </w:p>
    <w:p w14:paraId="59AD1EB2">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03" w:name="_Toc192675895"/>
      <w:r>
        <w:rPr>
          <w:rFonts w:ascii="Times New Roman" w:hAnsi="Times New Roman" w:eastAsia="黑体"/>
          <w:b/>
          <w:color w:val="000000" w:themeColor="text1"/>
          <w:sz w:val="30"/>
          <w:szCs w:val="30"/>
          <w14:textFill>
            <w14:solidFill>
              <w14:schemeClr w14:val="tx1"/>
            </w14:solidFill>
          </w14:textFill>
        </w:rPr>
        <w:t>壮链扩群压力加大</w:t>
      </w:r>
      <w:bookmarkEnd w:id="303"/>
    </w:p>
    <w:p w14:paraId="3ACEC3B0">
      <w:pPr>
        <w:pStyle w:val="269"/>
        <w:ind w:firstLine="560"/>
      </w:pPr>
      <w:r>
        <w:t>园区现有产业以装备制造等传统产业为主，产业门类相对分散、优势产业不突出。现有产业链条较短，下游终端产品延伸不足；产业链各环节关联度低，产业集群效应不显著，尚未形成产业集群资源整合协同效应；战略性新兴产业尚未形成规模效应，产品科技含量相对不高。总体来看，开发区在建链、补链、延链、强链、稳链，以及建群扩群壮群方面任务艰巨。</w:t>
      </w:r>
    </w:p>
    <w:p w14:paraId="02C2A1A7">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04" w:name="_Toc192675896"/>
      <w:r>
        <w:rPr>
          <w:rFonts w:ascii="Times New Roman" w:hAnsi="Times New Roman" w:eastAsia="黑体"/>
          <w:b/>
          <w:color w:val="000000" w:themeColor="text1"/>
          <w:sz w:val="30"/>
          <w:szCs w:val="30"/>
          <w14:textFill>
            <w14:solidFill>
              <w14:schemeClr w14:val="tx1"/>
            </w14:solidFill>
          </w14:textFill>
        </w:rPr>
        <w:t>新型科技人才面临较大缺口</w:t>
      </w:r>
      <w:bookmarkEnd w:id="304"/>
    </w:p>
    <w:p w14:paraId="7A8701D8">
      <w:pPr>
        <w:pStyle w:val="269"/>
        <w:ind w:firstLine="560"/>
      </w:pPr>
      <w:r>
        <w:t>传统产业转型升级与战略性新兴产业提档升级，需要更多复合型人才和高技能劳动者，对具备大数据、云计算、物联网、人工智能、区块链等能力的高度“串联”型科技人才提出了前所未有的巨大需求。新型科技人才比较缺乏，技术型与应用型科技人才面临较大人才缺口，人才培养和人才梯队建设压力巨大。</w:t>
      </w:r>
    </w:p>
    <w:bookmarkEnd w:id="298"/>
    <w:bookmarkEnd w:id="299"/>
    <w:bookmarkEnd w:id="300"/>
    <w:bookmarkEnd w:id="301"/>
    <w:p w14:paraId="3B5B908E">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05" w:name="_Toc134813190"/>
      <w:bookmarkStart w:id="306" w:name="_Toc192675897"/>
      <w:bookmarkStart w:id="307" w:name="_Toc134813053"/>
      <w:bookmarkStart w:id="308" w:name="_Toc134813327"/>
      <w:bookmarkStart w:id="309" w:name="_Toc134812691"/>
      <w:bookmarkStart w:id="310" w:name="_Toc417157143"/>
      <w:bookmarkStart w:id="311" w:name="_Toc417157224"/>
      <w:bookmarkStart w:id="312" w:name="_Toc417156768"/>
      <w:bookmarkStart w:id="313" w:name="_Toc417156856"/>
      <w:r>
        <w:rPr>
          <w:rFonts w:ascii="Times New Roman" w:hAnsi="Times New Roman" w:eastAsia="黑体"/>
          <w:b/>
          <w:color w:val="000000" w:themeColor="text1"/>
          <w:sz w:val="30"/>
          <w:szCs w:val="30"/>
          <w14:textFill>
            <w14:solidFill>
              <w14:schemeClr w14:val="tx1"/>
            </w14:solidFill>
          </w14:textFill>
        </w:rPr>
        <w:t>技术创新体制的健全与完善</w:t>
      </w:r>
      <w:bookmarkEnd w:id="305"/>
      <w:bookmarkEnd w:id="306"/>
      <w:bookmarkEnd w:id="307"/>
      <w:bookmarkEnd w:id="308"/>
      <w:bookmarkEnd w:id="309"/>
    </w:p>
    <w:p w14:paraId="1D5D4222">
      <w:pPr>
        <w:pStyle w:val="269"/>
        <w:ind w:firstLine="560"/>
      </w:pPr>
      <w:r>
        <w:t>目前，当地技术创新的体制仍有待健全与完善，产业化进程有待进一步加快。需结合政府支持与市场引导的方式两种技术进步模式，整合优势资源，建立健全产、学、研、用的协同发展联盟，使企业愿意投资于各式各样的创新活动，愿意通过重大技术突破和日积月累的、对现有工艺、产品的改进，以及对引进技术的消化、吸收和提高等多种手段参与竞争；建立健全知识产权保护体系，保护创新企业的智慧财产。</w:t>
      </w:r>
    </w:p>
    <w:bookmarkEnd w:id="310"/>
    <w:bookmarkEnd w:id="311"/>
    <w:bookmarkEnd w:id="312"/>
    <w:bookmarkEnd w:id="313"/>
    <w:p w14:paraId="1F05A537">
      <w:pPr>
        <w:adjustRightInd w:val="0"/>
        <w:snapToGrid w:val="0"/>
        <w:ind w:firstLine="198" w:firstLineChars="55"/>
        <w:jc w:val="left"/>
        <w:outlineLvl w:val="0"/>
        <w:rPr>
          <w:rFonts w:eastAsia="黑体"/>
          <w:b/>
          <w:color w:val="000000" w:themeColor="text1"/>
          <w:sz w:val="36"/>
          <w:szCs w:val="36"/>
          <w14:textFill>
            <w14:solidFill>
              <w14:schemeClr w14:val="tx1"/>
            </w14:solidFill>
          </w14:textFill>
        </w:rPr>
      </w:pPr>
      <w:r>
        <w:rPr>
          <w:rFonts w:eastAsia="黑体"/>
          <w:b/>
          <w:color w:val="000000" w:themeColor="text1"/>
          <w:sz w:val="36"/>
          <w:szCs w:val="36"/>
          <w14:textFill>
            <w14:solidFill>
              <w14:schemeClr w14:val="tx1"/>
            </w14:solidFill>
          </w14:textFill>
        </w:rPr>
        <w:br w:type="page"/>
      </w:r>
      <w:bookmarkStart w:id="314" w:name="_Toc192675898"/>
      <w:bookmarkStart w:id="315" w:name="_Toc134813192"/>
      <w:bookmarkStart w:id="316" w:name="_Toc134812693"/>
      <w:bookmarkStart w:id="317" w:name="_Toc134813329"/>
      <w:bookmarkStart w:id="318" w:name="_Toc134813055"/>
      <w:r>
        <w:rPr>
          <w:rFonts w:eastAsia="黑体"/>
          <w:b/>
          <w:color w:val="000000" w:themeColor="text1"/>
          <w:sz w:val="36"/>
          <w:szCs w:val="36"/>
          <w14:textFill>
            <w14:solidFill>
              <w14:schemeClr w14:val="tx1"/>
            </w14:solidFill>
          </w14:textFill>
        </w:rPr>
        <w:t>4 总体发展思路及发展目标</w:t>
      </w:r>
      <w:bookmarkEnd w:id="314"/>
      <w:bookmarkEnd w:id="315"/>
      <w:bookmarkEnd w:id="316"/>
      <w:bookmarkEnd w:id="317"/>
      <w:bookmarkEnd w:id="318"/>
    </w:p>
    <w:p w14:paraId="3407E730">
      <w:pPr>
        <w:pStyle w:val="97"/>
        <w:numPr>
          <w:ilvl w:val="0"/>
          <w:numId w:val="4"/>
        </w:numPr>
        <w:adjustRightInd w:val="0"/>
        <w:snapToGrid w:val="0"/>
        <w:ind w:firstLineChars="0"/>
        <w:outlineLvl w:val="1"/>
        <w:rPr>
          <w:rFonts w:ascii="Times New Roman" w:hAnsi="Times New Roman" w:eastAsia="黑体"/>
          <w:b/>
          <w:vanish/>
          <w:color w:val="000000" w:themeColor="text1"/>
          <w:sz w:val="30"/>
          <w:szCs w:val="30"/>
          <w14:textFill>
            <w14:solidFill>
              <w14:schemeClr w14:val="tx1"/>
            </w14:solidFill>
          </w14:textFill>
        </w:rPr>
      </w:pPr>
      <w:bookmarkStart w:id="319" w:name="_Toc134813330"/>
      <w:bookmarkEnd w:id="319"/>
      <w:bookmarkStart w:id="320" w:name="_Toc134812836"/>
      <w:bookmarkEnd w:id="320"/>
      <w:bookmarkStart w:id="321" w:name="_Toc156553025"/>
      <w:bookmarkEnd w:id="321"/>
      <w:bookmarkStart w:id="322" w:name="_Toc162446305"/>
      <w:bookmarkEnd w:id="322"/>
      <w:bookmarkStart w:id="323" w:name="_Toc161133105"/>
      <w:bookmarkEnd w:id="323"/>
      <w:bookmarkStart w:id="324" w:name="_Toc145341213"/>
      <w:bookmarkEnd w:id="324"/>
      <w:bookmarkStart w:id="325" w:name="_Toc145344457"/>
      <w:bookmarkEnd w:id="325"/>
      <w:bookmarkStart w:id="326" w:name="_Toc156553655"/>
      <w:bookmarkEnd w:id="326"/>
      <w:bookmarkStart w:id="327" w:name="_Toc150947947"/>
      <w:bookmarkEnd w:id="327"/>
      <w:bookmarkStart w:id="328" w:name="_Toc134813193"/>
      <w:bookmarkEnd w:id="328"/>
      <w:bookmarkStart w:id="329" w:name="_Toc190952827"/>
      <w:bookmarkEnd w:id="329"/>
      <w:bookmarkStart w:id="330" w:name="_Toc134813764"/>
      <w:bookmarkEnd w:id="330"/>
      <w:bookmarkStart w:id="331" w:name="_Toc161132265"/>
      <w:bookmarkEnd w:id="331"/>
      <w:bookmarkStart w:id="332" w:name="_Toc159406733"/>
      <w:bookmarkEnd w:id="332"/>
      <w:bookmarkStart w:id="333" w:name="_Toc186205256"/>
      <w:bookmarkEnd w:id="333"/>
      <w:bookmarkStart w:id="334" w:name="_Toc190952276"/>
      <w:bookmarkEnd w:id="334"/>
      <w:bookmarkStart w:id="335" w:name="_Toc192675899"/>
      <w:bookmarkEnd w:id="335"/>
      <w:bookmarkStart w:id="336" w:name="_Toc134813056"/>
      <w:bookmarkEnd w:id="336"/>
      <w:bookmarkStart w:id="337" w:name="_Toc182320670"/>
      <w:bookmarkEnd w:id="337"/>
      <w:bookmarkStart w:id="338" w:name="_Toc134812694"/>
      <w:bookmarkEnd w:id="338"/>
      <w:bookmarkStart w:id="339" w:name="_Toc148367069"/>
      <w:bookmarkEnd w:id="339"/>
      <w:bookmarkStart w:id="340" w:name="_Toc144211304"/>
      <w:bookmarkEnd w:id="340"/>
    </w:p>
    <w:p w14:paraId="1861CE93">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341" w:name="_Toc134813057"/>
      <w:bookmarkStart w:id="342" w:name="_Toc134813194"/>
      <w:bookmarkStart w:id="343" w:name="_Toc134813331"/>
      <w:bookmarkStart w:id="344" w:name="_Toc134812695"/>
      <w:bookmarkStart w:id="345" w:name="_Toc192675900"/>
      <w:r>
        <w:rPr>
          <w:rFonts w:ascii="Times New Roman" w:hAnsi="Times New Roman" w:eastAsia="黑体"/>
          <w:b/>
          <w:color w:val="000000" w:themeColor="text1"/>
          <w:sz w:val="30"/>
          <w:szCs w:val="30"/>
          <w14:textFill>
            <w14:solidFill>
              <w14:schemeClr w14:val="tx1"/>
            </w14:solidFill>
          </w14:textFill>
        </w:rPr>
        <w:t>指导思想</w:t>
      </w:r>
      <w:bookmarkEnd w:id="341"/>
      <w:bookmarkEnd w:id="342"/>
      <w:bookmarkEnd w:id="343"/>
      <w:bookmarkEnd w:id="344"/>
      <w:bookmarkEnd w:id="345"/>
    </w:p>
    <w:p w14:paraId="298112E0">
      <w:pPr>
        <w:pStyle w:val="269"/>
        <w:ind w:firstLine="560"/>
      </w:pPr>
      <w:r>
        <w:t>以习近平新时代中国特色社会主义思想为指导，全面贯彻党的二十大精神以及习近平总书记关于内蒙古工作的重要讲话指示精神，坚持“在危机中育新机、于变局中开新局”战略思想，站位“双循环”新发展格局，紧扣高质量发展、绿色发展要求，以深化供给侧结构性改革为主线，以改革创新为根本动力，以军民融合和两</w:t>
      </w:r>
      <w:bookmarkStart w:id="910" w:name="_GoBack"/>
      <w:bookmarkEnd w:id="910"/>
      <w:r>
        <w:t>化深度融合为抓手以重大项目建设为切入点，以建设全国应急产业基地为契机，壮大龙头骨干企业，形成一批影响力强的产业集群、领航型企业和知名品牌，将包头装备制造业打造成为呼包鄂经济带战略性新兴产业发展的重要增长极将包头打造成为在全国具有重要影响力的装备制造业基地。</w:t>
      </w:r>
    </w:p>
    <w:p w14:paraId="54299288">
      <w:pPr>
        <w:pStyle w:val="269"/>
        <w:ind w:firstLine="560"/>
      </w:pPr>
      <w:r>
        <w:t>园区的发展要秉承</w:t>
      </w:r>
      <w:r>
        <w:rPr>
          <w:rFonts w:hint="eastAsia"/>
          <w:lang w:eastAsia="zh-CN"/>
        </w:rPr>
        <w:t>生态优先、绿色发展</w:t>
      </w:r>
      <w:r>
        <w:t>理念，全面树立生态观念、完善生态制度、维护生态安全、优化生态环境，形成节约资源和保护环境的空间格局、产业结构，要形成绿色价值取向，把生态优美和经济增长“双赢”作为科学发展的重要价值标准。牢固树立保护生态环境就是保护生产力、改善生态环境就是发展生产力的理念，推动绿色发展、低碳发展、循环发展，促进园区循环经济建设，积极探索绿色可持续发展模式。</w:t>
      </w:r>
    </w:p>
    <w:p w14:paraId="5BC9D886">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346" w:name="_Toc417157145"/>
      <w:bookmarkStart w:id="347" w:name="_Toc417156770"/>
      <w:bookmarkStart w:id="348" w:name="_Toc417156858"/>
      <w:bookmarkStart w:id="349" w:name="_Toc134813195"/>
      <w:bookmarkStart w:id="350" w:name="_Toc417157226"/>
      <w:bookmarkStart w:id="351" w:name="_Toc134813058"/>
      <w:bookmarkStart w:id="352" w:name="_Toc192675901"/>
      <w:bookmarkStart w:id="353" w:name="_Toc134813332"/>
      <w:bookmarkStart w:id="354" w:name="_Toc134812696"/>
      <w:r>
        <w:rPr>
          <w:rFonts w:ascii="Times New Roman" w:hAnsi="Times New Roman" w:eastAsia="黑体"/>
          <w:b/>
          <w:color w:val="000000" w:themeColor="text1"/>
          <w:sz w:val="30"/>
          <w:szCs w:val="30"/>
          <w14:textFill>
            <w14:solidFill>
              <w14:schemeClr w14:val="tx1"/>
            </w14:solidFill>
          </w14:textFill>
        </w:rPr>
        <w:t>基本原则</w:t>
      </w:r>
      <w:bookmarkEnd w:id="346"/>
      <w:bookmarkEnd w:id="347"/>
      <w:bookmarkEnd w:id="348"/>
      <w:bookmarkEnd w:id="349"/>
      <w:bookmarkEnd w:id="350"/>
      <w:bookmarkEnd w:id="351"/>
      <w:bookmarkEnd w:id="352"/>
      <w:bookmarkEnd w:id="353"/>
      <w:bookmarkEnd w:id="354"/>
    </w:p>
    <w:p w14:paraId="14F9EFC1">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55" w:name="_Toc134813059"/>
      <w:bookmarkStart w:id="356" w:name="_Toc134812697"/>
      <w:bookmarkStart w:id="357" w:name="_Toc192675902"/>
      <w:bookmarkStart w:id="358" w:name="_Toc134813196"/>
      <w:bookmarkStart w:id="359" w:name="_Toc134813333"/>
      <w:r>
        <w:rPr>
          <w:rFonts w:ascii="Times New Roman" w:hAnsi="Times New Roman" w:eastAsia="黑体"/>
          <w:b/>
          <w:color w:val="000000" w:themeColor="text1"/>
          <w:sz w:val="30"/>
          <w:szCs w:val="30"/>
          <w14:textFill>
            <w14:solidFill>
              <w14:schemeClr w14:val="tx1"/>
            </w14:solidFill>
          </w14:textFill>
        </w:rPr>
        <w:t>整体协调、弹性开发</w:t>
      </w:r>
      <w:bookmarkEnd w:id="355"/>
      <w:bookmarkEnd w:id="356"/>
      <w:bookmarkEnd w:id="357"/>
      <w:bookmarkEnd w:id="358"/>
      <w:bookmarkEnd w:id="359"/>
    </w:p>
    <w:p w14:paraId="2B93BEF2">
      <w:pPr>
        <w:pStyle w:val="269"/>
        <w:ind w:firstLine="560"/>
      </w:pPr>
      <w:r>
        <w:t>坚持高起点、高水平、高标准的原则，园区规划充分考虑全县总体规划，从区域道路交通、基础设施等方面的配套与共享出发，增强园区与周边地区的联系以及内部各个功能区的联系。园区用地内部设计在道路、用地规划、土地兼容性等方面保留一定的弹性，使项目用地的发展能适应不同外部环境变化的要求及社会发展的需要。</w:t>
      </w:r>
    </w:p>
    <w:p w14:paraId="64F6AC6B">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60" w:name="_Toc134812698"/>
      <w:bookmarkStart w:id="361" w:name="_Toc192675903"/>
      <w:bookmarkStart w:id="362" w:name="_Toc134813197"/>
      <w:bookmarkStart w:id="363" w:name="_Toc134813334"/>
      <w:bookmarkStart w:id="364" w:name="_Toc134813060"/>
      <w:r>
        <w:rPr>
          <w:rFonts w:ascii="Times New Roman" w:hAnsi="Times New Roman" w:eastAsia="黑体"/>
          <w:b/>
          <w:color w:val="000000" w:themeColor="text1"/>
          <w:sz w:val="30"/>
          <w:szCs w:val="30"/>
          <w14:textFill>
            <w14:solidFill>
              <w14:schemeClr w14:val="tx1"/>
            </w14:solidFill>
          </w14:textFill>
        </w:rPr>
        <w:t>统筹兼顾、区域发展</w:t>
      </w:r>
      <w:bookmarkEnd w:id="360"/>
      <w:bookmarkEnd w:id="361"/>
      <w:bookmarkEnd w:id="362"/>
      <w:bookmarkEnd w:id="363"/>
      <w:bookmarkEnd w:id="364"/>
    </w:p>
    <w:p w14:paraId="2DE58A0C">
      <w:pPr>
        <w:pStyle w:val="269"/>
        <w:ind w:firstLine="560"/>
      </w:pPr>
      <w:r>
        <w:t>工业园区产业的发展首先要符合国家和地方经济发展的目标，发展规划要较好的解决不同因素之间的协调关系，对发展中可能产生的问题要统一规划、统筹协调、主次分明，将规划建立在“以人为本、全面、协调、可持续”的科学发展观的基础上。以实现区域的协调发展为出发点，规划要适合区域资源的特点、环境特征和产业基础，构筑具有比较优势产业结构。尽可能将园区的建设与青山区发展和地方经济特色相结合，将园区建设与区域生态环境综合整治相结合。</w:t>
      </w:r>
    </w:p>
    <w:p w14:paraId="16CC0DE0">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65" w:name="_Toc134813061"/>
      <w:bookmarkStart w:id="366" w:name="_Toc134813335"/>
      <w:bookmarkStart w:id="367" w:name="_Toc134812699"/>
      <w:bookmarkStart w:id="368" w:name="_Toc134813198"/>
      <w:bookmarkStart w:id="369" w:name="_Toc192675904"/>
      <w:r>
        <w:rPr>
          <w:rFonts w:ascii="Times New Roman" w:hAnsi="Times New Roman" w:eastAsia="黑体"/>
          <w:b/>
          <w:color w:val="000000" w:themeColor="text1"/>
          <w:sz w:val="30"/>
          <w:szCs w:val="30"/>
          <w14:textFill>
            <w14:solidFill>
              <w14:schemeClr w14:val="tx1"/>
            </w14:solidFill>
          </w14:textFill>
        </w:rPr>
        <w:t>注重生态、持续发展</w:t>
      </w:r>
      <w:bookmarkEnd w:id="365"/>
      <w:bookmarkEnd w:id="366"/>
      <w:bookmarkEnd w:id="367"/>
      <w:bookmarkEnd w:id="368"/>
      <w:bookmarkEnd w:id="369"/>
    </w:p>
    <w:p w14:paraId="6F3FE74B">
      <w:pPr>
        <w:pStyle w:val="269"/>
        <w:ind w:firstLine="560"/>
      </w:pPr>
      <w:r>
        <w:t xml:space="preserve">园区规划应与区域自然生态系统相结合，充分考虑环境因素，尽量减少对生态和环境的影响。园区的建设应按照可持续发展的要求进行产业结构的布局和调整，着力提高资源利用效率，减少污染物的产生和对环境的压力，最大限度的降低园区对自然生态系统的影响。 </w:t>
      </w:r>
    </w:p>
    <w:p w14:paraId="6D3D0B78">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70" w:name="_Toc134813336"/>
      <w:bookmarkStart w:id="371" w:name="_Toc134813199"/>
      <w:bookmarkStart w:id="372" w:name="_Toc134812700"/>
      <w:bookmarkStart w:id="373" w:name="_Toc192675905"/>
      <w:bookmarkStart w:id="374" w:name="_Toc134813062"/>
      <w:r>
        <w:rPr>
          <w:rFonts w:ascii="Times New Roman" w:hAnsi="Times New Roman" w:eastAsia="黑体"/>
          <w:b/>
          <w:color w:val="000000" w:themeColor="text1"/>
          <w:sz w:val="30"/>
          <w:szCs w:val="30"/>
          <w14:textFill>
            <w14:solidFill>
              <w14:schemeClr w14:val="tx1"/>
            </w14:solidFill>
          </w14:textFill>
        </w:rPr>
        <w:t>资源循环、延长产业链</w:t>
      </w:r>
      <w:bookmarkEnd w:id="370"/>
      <w:bookmarkEnd w:id="371"/>
      <w:bookmarkEnd w:id="372"/>
      <w:bookmarkEnd w:id="373"/>
      <w:bookmarkEnd w:id="374"/>
    </w:p>
    <w:p w14:paraId="19F24E09">
      <w:pPr>
        <w:pStyle w:val="269"/>
        <w:ind w:firstLine="560"/>
      </w:pPr>
      <w:r>
        <w:t>园区在发展产业时要充分重视地域化“产业链”建设，关注“上游产品”企业和“下游产品”企业的组合，大力发展循环经济，强化资源的集约利用。在园区范围内形成不同程度的产业链，加强各产业间的联系并逐步优化，构筑资源综合利用、产业共生的循环经济产业链。</w:t>
      </w:r>
    </w:p>
    <w:p w14:paraId="3E405233">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75" w:name="_Toc134812701"/>
      <w:bookmarkStart w:id="376" w:name="_Toc134813063"/>
      <w:bookmarkStart w:id="377" w:name="_Toc134813200"/>
      <w:bookmarkStart w:id="378" w:name="_Toc192675906"/>
      <w:bookmarkStart w:id="379" w:name="_Toc134813337"/>
      <w:r>
        <w:rPr>
          <w:rFonts w:ascii="Times New Roman" w:hAnsi="Times New Roman" w:eastAsia="黑体"/>
          <w:b/>
          <w:color w:val="000000" w:themeColor="text1"/>
          <w:sz w:val="30"/>
          <w:szCs w:val="30"/>
          <w14:textFill>
            <w14:solidFill>
              <w14:schemeClr w14:val="tx1"/>
            </w14:solidFill>
          </w14:textFill>
        </w:rPr>
        <w:t>科技先导、培育优势</w:t>
      </w:r>
      <w:bookmarkEnd w:id="375"/>
      <w:bookmarkEnd w:id="376"/>
      <w:bookmarkEnd w:id="377"/>
      <w:bookmarkEnd w:id="378"/>
      <w:bookmarkEnd w:id="379"/>
    </w:p>
    <w:p w14:paraId="33297833">
      <w:pPr>
        <w:pStyle w:val="269"/>
        <w:ind w:firstLine="560"/>
      </w:pPr>
      <w:r>
        <w:t xml:space="preserve">园区项目大力采用先进技术，以技术进步为先导，综合运用工业技术、生态技术、节能技术、节水技术和环境保护技术，进行技术的整合和集成，大力发展主导产业，以提高园区竞争力。 </w:t>
      </w:r>
    </w:p>
    <w:p w14:paraId="0EA05536">
      <w:pPr>
        <w:pStyle w:val="97"/>
        <w:numPr>
          <w:ilvl w:val="2"/>
          <w:numId w:val="4"/>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380" w:name="_Toc192675907"/>
      <w:bookmarkStart w:id="381" w:name="_Toc134813064"/>
      <w:bookmarkStart w:id="382" w:name="_Toc134813201"/>
      <w:bookmarkStart w:id="383" w:name="_Toc134812702"/>
      <w:bookmarkStart w:id="384" w:name="_Toc134813338"/>
      <w:r>
        <w:rPr>
          <w:rFonts w:ascii="Times New Roman" w:hAnsi="Times New Roman" w:eastAsia="黑体"/>
          <w:b/>
          <w:color w:val="000000" w:themeColor="text1"/>
          <w:sz w:val="30"/>
          <w:szCs w:val="30"/>
          <w14:textFill>
            <w14:solidFill>
              <w14:schemeClr w14:val="tx1"/>
            </w14:solidFill>
          </w14:textFill>
        </w:rPr>
        <w:t>顺应国家政策、集约发展</w:t>
      </w:r>
      <w:bookmarkEnd w:id="380"/>
      <w:bookmarkEnd w:id="381"/>
      <w:bookmarkEnd w:id="382"/>
      <w:bookmarkEnd w:id="383"/>
      <w:bookmarkEnd w:id="384"/>
    </w:p>
    <w:p w14:paraId="3F886FC1">
      <w:pPr>
        <w:pStyle w:val="269"/>
        <w:ind w:firstLine="560"/>
      </w:pPr>
      <w:r>
        <w:t>园区内产业的引进和发展应与国家最新的政策法规相符，结合区域内的资源优势大力发展国家提倡产业，在此基础上整合分散的工业厂区，优势产业集中布局，集约利用土地资源，合理调配资源利用，最大限度的提高投资效益。</w:t>
      </w:r>
      <w:bookmarkStart w:id="385" w:name="_Toc417156859"/>
      <w:bookmarkStart w:id="386" w:name="_Toc417157146"/>
      <w:bookmarkStart w:id="387" w:name="_Toc417157227"/>
      <w:bookmarkStart w:id="388" w:name="_Toc417156771"/>
    </w:p>
    <w:p w14:paraId="6E7BFAE3">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389" w:name="_Toc134813065"/>
      <w:bookmarkStart w:id="390" w:name="_Toc192675908"/>
      <w:bookmarkStart w:id="391" w:name="_Toc134813339"/>
      <w:bookmarkStart w:id="392" w:name="_Toc134813202"/>
      <w:bookmarkStart w:id="393" w:name="_Toc134812703"/>
      <w:r>
        <w:rPr>
          <w:rFonts w:ascii="Times New Roman" w:hAnsi="Times New Roman" w:eastAsia="黑体"/>
          <w:b/>
          <w:color w:val="000000" w:themeColor="text1"/>
          <w:sz w:val="30"/>
          <w:szCs w:val="30"/>
          <w14:textFill>
            <w14:solidFill>
              <w14:schemeClr w14:val="tx1"/>
            </w14:solidFill>
          </w14:textFill>
        </w:rPr>
        <w:t>发展思路</w:t>
      </w:r>
      <w:bookmarkEnd w:id="385"/>
      <w:bookmarkEnd w:id="386"/>
      <w:bookmarkEnd w:id="387"/>
      <w:bookmarkEnd w:id="388"/>
      <w:bookmarkEnd w:id="389"/>
      <w:bookmarkEnd w:id="390"/>
      <w:bookmarkEnd w:id="391"/>
      <w:bookmarkEnd w:id="392"/>
      <w:bookmarkEnd w:id="393"/>
    </w:p>
    <w:p w14:paraId="6096FCD9">
      <w:pPr>
        <w:pStyle w:val="269"/>
        <w:ind w:firstLine="560"/>
      </w:pPr>
      <w:r>
        <w:rPr>
          <w:rFonts w:hint="eastAsia"/>
        </w:rPr>
        <w:t>基于国家“制造强国”战略指引与自治区“两个屏障、两个基地、一个桥头堡”发展定位，包头装备制造产业园区立足新发展格局，锚定高质量发展目标，依托“世界稀土之都”“绿色硅都”核心区位优势，构建“四维驱动、三链协同”的现代化产业体系，着力打造国家级高端装备制造示范基地。</w:t>
      </w:r>
    </w:p>
    <w:p w14:paraId="03BEE4C4">
      <w:pPr>
        <w:pStyle w:val="269"/>
        <w:ind w:firstLine="560"/>
      </w:pPr>
      <w:r>
        <w:rPr>
          <w:rFonts w:hint="eastAsia"/>
        </w:rPr>
        <w:t>一、实施龙头引领战略，构建优势产业集群</w:t>
      </w:r>
    </w:p>
    <w:p w14:paraId="0F8313B3">
      <w:pPr>
        <w:pStyle w:val="269"/>
        <w:ind w:firstLine="560"/>
      </w:pPr>
      <w:r>
        <w:rPr>
          <w:rFonts w:hint="eastAsia"/>
        </w:rPr>
        <w:t>重点培育以新能源装备、智能矿用机械、军民融合装备为核心的“四轮驱动”产业矩阵。依托北奔重汽、北方股份等主链企业，深化“整机+零部件”垂直整合模式，推动产业链向价值链高端延伸。力争三年内形成千亿级装备制造产业集群，实现“国家级矿山装备基地”“国家级新能源装备示范区” 双品牌战略。</w:t>
      </w:r>
    </w:p>
    <w:p w14:paraId="7FC86F5D">
      <w:pPr>
        <w:pStyle w:val="269"/>
        <w:ind w:firstLine="560"/>
      </w:pPr>
      <w:r>
        <w:rPr>
          <w:rFonts w:hint="eastAsia"/>
        </w:rPr>
        <w:t>二、深化要素禀赋优势，打造战略资源转化高地</w:t>
      </w:r>
    </w:p>
    <w:p w14:paraId="2FC24743">
      <w:pPr>
        <w:pStyle w:val="269"/>
        <w:ind w:firstLine="560"/>
      </w:pPr>
      <w:r>
        <w:rPr>
          <w:rFonts w:hint="eastAsia"/>
        </w:rPr>
        <w:t>创新构建“风能+”、“绿电+”产业融合发展范式，强化资源要素的产业级、产品级、技术级转化能力。构建“陆港+空港+铁路专线”多式联运体系，放大中蒙俄经济走廊枢纽效应，形成覆盖西北、辐射中亚的装备制造产业门户。</w:t>
      </w:r>
    </w:p>
    <w:p w14:paraId="03157712">
      <w:pPr>
        <w:pStyle w:val="269"/>
        <w:ind w:firstLine="560"/>
      </w:pPr>
      <w:r>
        <w:rPr>
          <w:rFonts w:hint="eastAsia"/>
        </w:rPr>
        <w:t>三、强化全产业链协同，培育产业生态共同体</w:t>
      </w:r>
    </w:p>
    <w:p w14:paraId="49526358">
      <w:pPr>
        <w:pStyle w:val="269"/>
        <w:ind w:firstLine="560"/>
      </w:pPr>
      <w:r>
        <w:rPr>
          <w:rFonts w:hint="eastAsia"/>
        </w:rPr>
        <w:t>实施“强链补链延链”工程，构建“基础材料-核心部件-整机制造-系统集成-智能服务”的全产业链生态。重点发展高附加值的研发设计、检测认证、供应链金融等生产性服务业，促进制造业服务化转型。</w:t>
      </w:r>
    </w:p>
    <w:p w14:paraId="4162E6AE">
      <w:pPr>
        <w:pStyle w:val="269"/>
        <w:ind w:firstLine="560"/>
      </w:pPr>
      <w:r>
        <w:rPr>
          <w:rFonts w:hint="eastAsia"/>
        </w:rPr>
        <w:t>四、推进创新驱动发展，建设数字智造新高地</w:t>
      </w:r>
    </w:p>
    <w:p w14:paraId="53BD72B3">
      <w:pPr>
        <w:pStyle w:val="269"/>
        <w:ind w:firstLine="560"/>
      </w:pPr>
      <w:r>
        <w:rPr>
          <w:rFonts w:hint="eastAsia"/>
        </w:rPr>
        <w:t>组建“政产学研用”五位一体创新联合体，重点突破智能传感、工业互联网平台、数字孪生等关键技术。建设装备制造工业大数据中心，打造“5G+工业互联网”应用场景示范园区。</w:t>
      </w:r>
    </w:p>
    <w:p w14:paraId="72C55A7D">
      <w:pPr>
        <w:pStyle w:val="269"/>
        <w:ind w:firstLine="560"/>
      </w:pPr>
      <w:r>
        <w:rPr>
          <w:rFonts w:hint="eastAsia"/>
        </w:rPr>
        <w:t>五、深化开放合作格局，构建全球产业坐标系</w:t>
      </w:r>
    </w:p>
    <w:p w14:paraId="3FAD0BDF">
      <w:pPr>
        <w:pStyle w:val="269"/>
        <w:ind w:firstLine="560"/>
      </w:pPr>
      <w:r>
        <w:rPr>
          <w:rFonts w:hint="eastAsia"/>
        </w:rPr>
        <w:t>主动融入“一带一路”国际产能合作，建设跨境装备制造协同创新中心。搭建国际装备贸易综合服务平台，形成"研发在包头、制造在丝路、服务在全球”的产业布局。重点开拓中亚新能源装备市场，培育3-5个具有国际竞争力的自主品牌。</w:t>
      </w:r>
    </w:p>
    <w:p w14:paraId="7291248B">
      <w:pPr>
        <w:pStyle w:val="269"/>
        <w:ind w:firstLine="560"/>
      </w:pPr>
      <w:r>
        <w:rPr>
          <w:rFonts w:hint="eastAsia"/>
        </w:rPr>
        <w:t>本规划实施将突出“亩均效益”导向，建立“投资强度-产出效益-财税贡献-生态效益”四维评价体系，打造黄河流域生态保护和高质量发展示范园区，为自治区建设国家重要能源和战略资源基地提供强力支撑。</w:t>
      </w:r>
      <w:r>
        <w:t xml:space="preserve">  </w:t>
      </w:r>
    </w:p>
    <w:p w14:paraId="4D148EEA">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394" w:name="_Toc417157228"/>
      <w:bookmarkStart w:id="395" w:name="_Toc134813203"/>
      <w:bookmarkStart w:id="396" w:name="_Toc134813066"/>
      <w:bookmarkStart w:id="397" w:name="_Toc417156772"/>
      <w:bookmarkStart w:id="398" w:name="_Toc417156860"/>
      <w:bookmarkStart w:id="399" w:name="_Toc134812704"/>
      <w:bookmarkStart w:id="400" w:name="_Toc192675909"/>
      <w:bookmarkStart w:id="401" w:name="_Toc417157147"/>
      <w:bookmarkStart w:id="402" w:name="_Toc134813340"/>
      <w:r>
        <w:rPr>
          <w:rFonts w:ascii="Times New Roman" w:hAnsi="Times New Roman" w:eastAsia="黑体"/>
          <w:b/>
          <w:color w:val="000000" w:themeColor="text1"/>
          <w:sz w:val="30"/>
          <w:szCs w:val="30"/>
          <w14:textFill>
            <w14:solidFill>
              <w14:schemeClr w14:val="tx1"/>
            </w14:solidFill>
          </w14:textFill>
        </w:rPr>
        <w:t>发展定位</w:t>
      </w:r>
      <w:bookmarkEnd w:id="394"/>
      <w:bookmarkEnd w:id="395"/>
      <w:bookmarkEnd w:id="396"/>
      <w:bookmarkEnd w:id="397"/>
      <w:bookmarkEnd w:id="398"/>
      <w:bookmarkEnd w:id="399"/>
      <w:bookmarkEnd w:id="400"/>
      <w:bookmarkEnd w:id="401"/>
      <w:bookmarkEnd w:id="402"/>
    </w:p>
    <w:p w14:paraId="7DC9C998">
      <w:pPr>
        <w:pStyle w:val="269"/>
        <w:ind w:firstLine="560"/>
      </w:pPr>
      <w:r>
        <w:t>内蒙古包头装备制造产业园区是国家包头装备制造高新技术产业化基地；国家新型工业化产业示范基地；国家绿色园区；国家应急产业示范基地；国家产业转型升级示范园区；是我国中西部重要的装备制造业园区；是自治区沿黄沿线经济带优秀的自治区级产业园区。</w:t>
      </w:r>
    </w:p>
    <w:p w14:paraId="1E67D88C">
      <w:pPr>
        <w:pStyle w:val="269"/>
        <w:ind w:firstLine="560"/>
      </w:pPr>
      <w:r>
        <w:t>园区的产业定位是以装备制造、新材料、新一代信息技术产业为主导产业，兼顾发展节能环保和资源综合利用产业、商贸物流、研发及生活服务等设施的高新技术产业基地。</w:t>
      </w:r>
    </w:p>
    <w:p w14:paraId="670CAB39">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403" w:name="_Toc417156773"/>
      <w:bookmarkStart w:id="404" w:name="_Toc417157229"/>
      <w:bookmarkStart w:id="405" w:name="_Toc134813341"/>
      <w:bookmarkStart w:id="406" w:name="_Toc134813067"/>
      <w:bookmarkStart w:id="407" w:name="_Toc134813204"/>
      <w:bookmarkStart w:id="408" w:name="_Toc192675910"/>
      <w:bookmarkStart w:id="409" w:name="_Toc134812705"/>
      <w:bookmarkStart w:id="410" w:name="_Toc417157148"/>
      <w:bookmarkStart w:id="411" w:name="_Toc417156861"/>
      <w:r>
        <w:rPr>
          <w:rFonts w:ascii="Times New Roman" w:hAnsi="Times New Roman" w:eastAsia="黑体"/>
          <w:b/>
          <w:color w:val="000000" w:themeColor="text1"/>
          <w:sz w:val="30"/>
          <w:szCs w:val="30"/>
          <w14:textFill>
            <w14:solidFill>
              <w14:schemeClr w14:val="tx1"/>
            </w14:solidFill>
          </w14:textFill>
        </w:rPr>
        <w:t>发展目标</w:t>
      </w:r>
      <w:bookmarkEnd w:id="403"/>
      <w:bookmarkEnd w:id="404"/>
      <w:bookmarkEnd w:id="405"/>
      <w:bookmarkEnd w:id="406"/>
      <w:bookmarkEnd w:id="407"/>
      <w:bookmarkEnd w:id="408"/>
      <w:bookmarkEnd w:id="409"/>
      <w:bookmarkEnd w:id="410"/>
      <w:bookmarkEnd w:id="411"/>
    </w:p>
    <w:p w14:paraId="5E9FA1FC">
      <w:pPr>
        <w:pStyle w:val="269"/>
        <w:ind w:firstLine="560"/>
      </w:pPr>
      <w:r>
        <w:t>依托园区现有经济基础，发挥园区及周边地区的资源优势，以及园区后发优势，巩固提高传统产业优势，培育新型产业发展优势，推进园区基础产业、新型产业共同发展。</w:t>
      </w:r>
    </w:p>
    <w:p w14:paraId="5144090C">
      <w:pPr>
        <w:pStyle w:val="269"/>
        <w:ind w:firstLine="560"/>
      </w:pPr>
      <w:r>
        <w:t>一、产业结构升级目标</w:t>
      </w:r>
    </w:p>
    <w:p w14:paraId="1A5C9158">
      <w:pPr>
        <w:pStyle w:val="269"/>
        <w:ind w:firstLine="560"/>
      </w:pPr>
      <w:r>
        <w:t>1. 战略性新兴产业能级跃迁</w:t>
      </w:r>
    </w:p>
    <w:p w14:paraId="5638B37E">
      <w:pPr>
        <w:pStyle w:val="269"/>
        <w:ind w:firstLine="560"/>
      </w:pPr>
      <w:r>
        <w:t>（1）新材料产业：</w:t>
      </w:r>
    </w:p>
    <w:p w14:paraId="0C9579D1">
      <w:pPr>
        <w:pStyle w:val="269"/>
        <w:ind w:firstLine="560"/>
      </w:pPr>
      <w:r>
        <w:t>到2030年，聚焦先进无机非金属材料、高性能纤维及复合材料、前沿新材料、三大领域，建成</w:t>
      </w:r>
      <w:r>
        <w:rPr>
          <w:rFonts w:hint="eastAsia"/>
        </w:rPr>
        <w:t>自治区级</w:t>
      </w:r>
      <w:r>
        <w:t>新材料中试基地，先进无机非金属材料产能突破1万吨，高性能纤维及复合材料产能突破5万吨，前沿新材料产能突破2万吨；</w:t>
      </w:r>
    </w:p>
    <w:p w14:paraId="0C320989">
      <w:pPr>
        <w:pStyle w:val="269"/>
        <w:ind w:firstLine="560"/>
      </w:pPr>
      <w:r>
        <w:t>到2035年，先进无机非金属材料总产能达到2万吨，高性能纤维及复合材料总产能达到10万吨，前沿新材料总产能达到4万吨。</w:t>
      </w:r>
    </w:p>
    <w:p w14:paraId="3D44546A">
      <w:pPr>
        <w:pStyle w:val="269"/>
        <w:ind w:firstLine="560"/>
      </w:pPr>
      <w:r>
        <w:t>（2）新能源装备产业：</w:t>
      </w:r>
    </w:p>
    <w:p w14:paraId="3A64C681">
      <w:pPr>
        <w:pStyle w:val="269"/>
        <w:ind w:firstLine="560"/>
      </w:pPr>
      <w:r>
        <w:t>到2030年，打造“风光氢储”四位一体装备制造基地，风能产业产值达20亿元，光伏组件产能达30GW，氢能装备产值达15亿元，储能产业产值达5亿元。</w:t>
      </w:r>
    </w:p>
    <w:p w14:paraId="7CDEBF6D">
      <w:pPr>
        <w:pStyle w:val="269"/>
        <w:ind w:firstLine="560"/>
      </w:pPr>
      <w:r>
        <w:t>到2035年，形成</w:t>
      </w:r>
      <w:r>
        <w:rPr>
          <w:rFonts w:hint="eastAsia"/>
        </w:rPr>
        <w:t>百</w:t>
      </w:r>
      <w:r>
        <w:t>亿级新能源装备集群，建成</w:t>
      </w:r>
      <w:r>
        <w:rPr>
          <w:rFonts w:hint="eastAsia"/>
        </w:rPr>
        <w:t>自治区</w:t>
      </w:r>
      <w:r>
        <w:t>级氢能装备检测认证中心；风能产业总产值达55亿元，光伏组件总产能达50GW，氢能装备总产值达35亿元，储能产业总产值达10亿元。</w:t>
      </w:r>
    </w:p>
    <w:p w14:paraId="54BDCD5C">
      <w:pPr>
        <w:pStyle w:val="269"/>
        <w:ind w:firstLine="560"/>
      </w:pPr>
      <w:r>
        <w:t>（3）新能源汽车产业：</w:t>
      </w:r>
    </w:p>
    <w:p w14:paraId="1310E013">
      <w:pPr>
        <w:pStyle w:val="269"/>
        <w:ind w:firstLine="560"/>
      </w:pPr>
      <w:r>
        <w:t>到2030年，建成北方新能源汽车核心部件基地，产值突破</w:t>
      </w:r>
      <w:r>
        <w:rPr>
          <w:rFonts w:hint="eastAsia"/>
        </w:rPr>
        <w:t>150</w:t>
      </w:r>
      <w:r>
        <w:t>亿元；</w:t>
      </w:r>
    </w:p>
    <w:p w14:paraId="226957B6">
      <w:pPr>
        <w:pStyle w:val="269"/>
        <w:ind w:firstLine="560"/>
      </w:pPr>
      <w:r>
        <w:t>到2035年，实现智能网联商用车全产业链布局，打造“草原氢走廊”示范标杆，总产值突破</w:t>
      </w:r>
      <w:r>
        <w:rPr>
          <w:rFonts w:hint="eastAsia"/>
        </w:rPr>
        <w:t>350</w:t>
      </w:r>
      <w:r>
        <w:t>亿元。</w:t>
      </w:r>
    </w:p>
    <w:p w14:paraId="71F05F24">
      <w:pPr>
        <w:pStyle w:val="269"/>
        <w:ind w:firstLine="560"/>
      </w:pPr>
      <w:r>
        <w:t>（4）高端装备制造产业：</w:t>
      </w:r>
    </w:p>
    <w:p w14:paraId="26CDE6D4">
      <w:pPr>
        <w:pStyle w:val="269"/>
        <w:ind w:firstLine="560"/>
      </w:pPr>
      <w:r>
        <w:t>到2030年，突破重型矿卡无人驾驶、智能采掘装备等关键技术，产值达45亿元；</w:t>
      </w:r>
    </w:p>
    <w:p w14:paraId="580FD610">
      <w:pPr>
        <w:pStyle w:val="269"/>
        <w:ind w:firstLine="560"/>
      </w:pPr>
      <w:r>
        <w:t>到2035年，建成</w:t>
      </w:r>
      <w:r>
        <w:rPr>
          <w:rFonts w:hint="eastAsia"/>
        </w:rPr>
        <w:t>国家</w:t>
      </w:r>
      <w:r>
        <w:t>智能矿山装备研发中心，总产值突破100亿元。</w:t>
      </w:r>
    </w:p>
    <w:p w14:paraId="45450847">
      <w:pPr>
        <w:pStyle w:val="269"/>
        <w:ind w:firstLine="560"/>
      </w:pPr>
      <w:r>
        <w:t>（5）新一代信息技术产业：</w:t>
      </w:r>
    </w:p>
    <w:p w14:paraId="385E8E81">
      <w:pPr>
        <w:pStyle w:val="269"/>
        <w:ind w:firstLine="560"/>
      </w:pPr>
      <w:r>
        <w:t>到2030年，建设工业互联网大数据枢纽，开发5个行业级工业软件平台，产值达20亿元；</w:t>
      </w:r>
    </w:p>
    <w:p w14:paraId="16FC6D5F">
      <w:pPr>
        <w:pStyle w:val="269"/>
        <w:ind w:firstLine="560"/>
      </w:pPr>
      <w:r>
        <w:t>到2035年，建成“数字孪生+人工智能”装备研发基地，总产值突破50亿元</w:t>
      </w:r>
    </w:p>
    <w:p w14:paraId="74ACCA33">
      <w:pPr>
        <w:pStyle w:val="269"/>
        <w:ind w:firstLine="560"/>
      </w:pPr>
      <w:r>
        <w:t>二、科技创新发展目标</w:t>
      </w:r>
    </w:p>
    <w:p w14:paraId="4A34373F">
      <w:pPr>
        <w:pStyle w:val="269"/>
        <w:ind w:firstLine="560"/>
      </w:pPr>
      <w:r>
        <w:t>1. 研发能级突破</w:t>
      </w:r>
    </w:p>
    <w:p w14:paraId="4C5FF182">
      <w:pPr>
        <w:pStyle w:val="269"/>
        <w:ind w:firstLine="560"/>
      </w:pPr>
      <w:r>
        <w:t>到2030年，建成2家国家级重点实验室、5家省部级工程技术中心，研发投入强度达3%，每万人高价值发明专利拥有量超50件；</w:t>
      </w:r>
    </w:p>
    <w:p w14:paraId="5B5032CF">
      <w:pPr>
        <w:pStyle w:val="269"/>
        <w:ind w:firstLine="560"/>
      </w:pPr>
      <w:r>
        <w:t>到2035年，组建“</w:t>
      </w:r>
      <w:r>
        <w:rPr>
          <w:rFonts w:hint="eastAsia"/>
        </w:rPr>
        <w:t>新</w:t>
      </w:r>
      <w:r>
        <w:t>材料国家技术创新中心”，突破10项“卡脖子”技术，研发投入强度提升至3.8%，主导制定国际标准5项以上。</w:t>
      </w:r>
    </w:p>
    <w:p w14:paraId="648A9673">
      <w:pPr>
        <w:pStyle w:val="269"/>
        <w:ind w:firstLine="560"/>
      </w:pPr>
      <w:r>
        <w:t>2. 数字转型与智能化升级</w:t>
      </w:r>
    </w:p>
    <w:p w14:paraId="4332BCF2">
      <w:pPr>
        <w:pStyle w:val="269"/>
        <w:ind w:firstLine="560"/>
      </w:pPr>
      <w:r>
        <w:t>到2030年，规上企业智能制造成熟度达三级以上，建成20家“黑灯工厂”；</w:t>
      </w:r>
    </w:p>
    <w:p w14:paraId="5FEC7D21">
      <w:pPr>
        <w:pStyle w:val="269"/>
        <w:ind w:firstLine="560"/>
      </w:pPr>
      <w:r>
        <w:t>到2035年，实现全产业链数字孪生覆盖，培育3家全球灯塔工厂。</w:t>
      </w:r>
    </w:p>
    <w:p w14:paraId="3E3DABC0">
      <w:pPr>
        <w:pStyle w:val="269"/>
        <w:ind w:firstLine="560"/>
      </w:pPr>
      <w:r>
        <w:t>三、绿色制造体系构建目标</w:t>
      </w:r>
    </w:p>
    <w:p w14:paraId="56B0EE71">
      <w:pPr>
        <w:pStyle w:val="269"/>
        <w:ind w:firstLine="560"/>
      </w:pPr>
      <w:r>
        <w:t>1. 绿色制造体系构建</w:t>
      </w:r>
    </w:p>
    <w:p w14:paraId="69484700">
      <w:pPr>
        <w:pStyle w:val="269"/>
        <w:ind w:firstLine="560"/>
      </w:pPr>
      <w:r>
        <w:t>到2030年，建成“零碳供应链”示范园区，绿色工厂覆盖率超80%；</w:t>
      </w:r>
    </w:p>
    <w:p w14:paraId="4B907697">
      <w:pPr>
        <w:pStyle w:val="269"/>
        <w:ind w:firstLine="560"/>
      </w:pPr>
      <w:r>
        <w:t>到2035年，实现全生命周期碳足迹管理，建成国家级“近零碳排放示范区”。</w:t>
      </w:r>
    </w:p>
    <w:p w14:paraId="47408C1C">
      <w:pPr>
        <w:adjustRightInd w:val="0"/>
        <w:snapToGrid w:val="0"/>
        <w:ind w:firstLineChars="71"/>
        <w:jc w:val="left"/>
        <w:outlineLvl w:val="0"/>
        <w:rPr>
          <w:rFonts w:eastAsia="黑体"/>
          <w:b/>
          <w:color w:val="000000" w:themeColor="text1"/>
          <w:sz w:val="36"/>
          <w:szCs w:val="36"/>
          <w14:textFill>
            <w14:solidFill>
              <w14:schemeClr w14:val="tx1"/>
            </w14:solidFill>
          </w14:textFill>
        </w:rPr>
      </w:pPr>
      <w:r>
        <w:rPr>
          <w:b/>
          <w:color w:val="000000" w:themeColor="text1"/>
          <w:szCs w:val="28"/>
          <w14:textFill>
            <w14:solidFill>
              <w14:schemeClr w14:val="tx1"/>
            </w14:solidFill>
          </w14:textFill>
        </w:rPr>
        <w:br w:type="page"/>
      </w:r>
      <w:bookmarkStart w:id="412" w:name="_Toc134813070"/>
      <w:bookmarkStart w:id="413" w:name="_Toc134812708"/>
      <w:bookmarkStart w:id="414" w:name="_Toc192675911"/>
      <w:bookmarkStart w:id="415" w:name="_Toc134813207"/>
      <w:bookmarkStart w:id="416" w:name="_Toc134813344"/>
      <w:r>
        <w:rPr>
          <w:rFonts w:eastAsia="黑体"/>
          <w:b/>
          <w:color w:val="000000" w:themeColor="text1"/>
          <w:sz w:val="36"/>
          <w:szCs w:val="36"/>
          <w14:textFill>
            <w14:solidFill>
              <w14:schemeClr w14:val="tx1"/>
            </w14:solidFill>
          </w14:textFill>
        </w:rPr>
        <w:t>5 产业空间布局规划</w:t>
      </w:r>
      <w:bookmarkEnd w:id="412"/>
      <w:bookmarkEnd w:id="413"/>
      <w:bookmarkEnd w:id="414"/>
      <w:bookmarkEnd w:id="415"/>
      <w:bookmarkEnd w:id="416"/>
    </w:p>
    <w:p w14:paraId="7185D3BF">
      <w:pPr>
        <w:pStyle w:val="97"/>
        <w:numPr>
          <w:ilvl w:val="0"/>
          <w:numId w:val="4"/>
        </w:numPr>
        <w:adjustRightInd w:val="0"/>
        <w:snapToGrid w:val="0"/>
        <w:ind w:firstLineChars="0"/>
        <w:outlineLvl w:val="1"/>
        <w:rPr>
          <w:rFonts w:ascii="Times New Roman" w:hAnsi="Times New Roman" w:eastAsia="黑体"/>
          <w:b/>
          <w:vanish/>
          <w:color w:val="000000" w:themeColor="text1"/>
          <w:sz w:val="30"/>
          <w:szCs w:val="30"/>
          <w14:textFill>
            <w14:solidFill>
              <w14:schemeClr w14:val="tx1"/>
            </w14:solidFill>
          </w14:textFill>
        </w:rPr>
      </w:pPr>
      <w:bookmarkStart w:id="417" w:name="_Toc190952840"/>
      <w:bookmarkEnd w:id="417"/>
      <w:bookmarkStart w:id="418" w:name="_Toc134813208"/>
      <w:bookmarkEnd w:id="418"/>
      <w:bookmarkStart w:id="419" w:name="_Toc145344470"/>
      <w:bookmarkEnd w:id="419"/>
      <w:bookmarkStart w:id="420" w:name="_Toc186205269"/>
      <w:bookmarkEnd w:id="420"/>
      <w:bookmarkStart w:id="421" w:name="_Toc162446318"/>
      <w:bookmarkEnd w:id="421"/>
      <w:bookmarkStart w:id="422" w:name="_Toc156553668"/>
      <w:bookmarkEnd w:id="422"/>
      <w:bookmarkStart w:id="423" w:name="_Toc134812851"/>
      <w:bookmarkEnd w:id="423"/>
      <w:bookmarkStart w:id="424" w:name="_Toc192675912"/>
      <w:bookmarkEnd w:id="424"/>
      <w:bookmarkStart w:id="425" w:name="_Toc161132278"/>
      <w:bookmarkEnd w:id="425"/>
      <w:bookmarkStart w:id="426" w:name="_Toc182320683"/>
      <w:bookmarkEnd w:id="426"/>
      <w:bookmarkStart w:id="427" w:name="_Toc190952289"/>
      <w:bookmarkEnd w:id="427"/>
      <w:bookmarkStart w:id="428" w:name="_Toc156553038"/>
      <w:bookmarkEnd w:id="428"/>
      <w:bookmarkStart w:id="429" w:name="_Toc145341226"/>
      <w:bookmarkEnd w:id="429"/>
      <w:bookmarkStart w:id="430" w:name="_Toc134813779"/>
      <w:bookmarkEnd w:id="430"/>
      <w:bookmarkStart w:id="431" w:name="_Toc150947960"/>
      <w:bookmarkEnd w:id="431"/>
      <w:bookmarkStart w:id="432" w:name="_Toc134813071"/>
      <w:bookmarkEnd w:id="432"/>
      <w:bookmarkStart w:id="433" w:name="_Toc159406746"/>
      <w:bookmarkEnd w:id="433"/>
      <w:bookmarkStart w:id="434" w:name="_Toc144211317"/>
      <w:bookmarkEnd w:id="434"/>
      <w:bookmarkStart w:id="435" w:name="_Toc161133118"/>
      <w:bookmarkEnd w:id="435"/>
      <w:bookmarkStart w:id="436" w:name="_Toc134812709"/>
      <w:bookmarkEnd w:id="436"/>
      <w:bookmarkStart w:id="437" w:name="_Toc148367082"/>
      <w:bookmarkEnd w:id="437"/>
      <w:bookmarkStart w:id="438" w:name="_Toc134813345"/>
      <w:bookmarkEnd w:id="438"/>
      <w:bookmarkStart w:id="439" w:name="_Toc417157149"/>
      <w:bookmarkStart w:id="440" w:name="_Toc417156774"/>
      <w:bookmarkStart w:id="441" w:name="_Toc417156862"/>
      <w:bookmarkStart w:id="442" w:name="_Toc417157230"/>
    </w:p>
    <w:p w14:paraId="7D050BA3">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443" w:name="_Toc134813346"/>
      <w:bookmarkStart w:id="444" w:name="_Toc192675913"/>
      <w:bookmarkStart w:id="445" w:name="_Toc134813209"/>
      <w:bookmarkStart w:id="446" w:name="_Toc134813072"/>
      <w:bookmarkStart w:id="447" w:name="_Toc134812710"/>
      <w:r>
        <w:rPr>
          <w:rFonts w:ascii="Times New Roman" w:hAnsi="Times New Roman" w:eastAsia="黑体"/>
          <w:b/>
          <w:color w:val="000000" w:themeColor="text1"/>
          <w:sz w:val="30"/>
          <w:szCs w:val="30"/>
          <w14:textFill>
            <w14:solidFill>
              <w14:schemeClr w14:val="tx1"/>
            </w14:solidFill>
          </w14:textFill>
        </w:rPr>
        <w:t>产业布局原则及要求</w:t>
      </w:r>
      <w:bookmarkEnd w:id="439"/>
      <w:bookmarkEnd w:id="440"/>
      <w:bookmarkEnd w:id="441"/>
      <w:bookmarkEnd w:id="442"/>
      <w:bookmarkEnd w:id="443"/>
      <w:bookmarkEnd w:id="444"/>
      <w:bookmarkEnd w:id="445"/>
      <w:bookmarkEnd w:id="446"/>
      <w:bookmarkEnd w:id="447"/>
    </w:p>
    <w:p w14:paraId="217439F2">
      <w:pPr>
        <w:pStyle w:val="269"/>
        <w:ind w:firstLine="560"/>
      </w:pPr>
      <w:r>
        <w:t>按照特色、优势、生态发展的方向，接续和优化产业相结合，发挥基础优势，实现差异化的跨越式发展，形成各具比较优势的骨干产品链；在产品链相互融合、延伸的同时，统筹规划近期建设和远期发展的合理衔接，实现环境、技术和原料路线的“多赢”创新发展；产业布局与国土空间规划相协调，做到布置合理，节约用地。具体遵循以下布局原则：</w:t>
      </w:r>
    </w:p>
    <w:p w14:paraId="5B66513C">
      <w:pPr>
        <w:pStyle w:val="269"/>
        <w:ind w:firstLine="560"/>
      </w:pPr>
      <w:r>
        <w:t>（1）以包头市国土空间规划为依据，合理划分园区功能分区，突出高新技术功能，有利于控制园区空间形态，科学指导今后的开发建设。</w:t>
      </w:r>
    </w:p>
    <w:p w14:paraId="0F11E289">
      <w:pPr>
        <w:pStyle w:val="269"/>
        <w:ind w:firstLine="560"/>
      </w:pPr>
      <w:r>
        <w:t>（2）项目区块规划要按照产业链关系进行布局，有上下游物料关系的项目要满足运输路线径直短捷、互不干扰的原则。</w:t>
      </w:r>
    </w:p>
    <w:p w14:paraId="4D884505">
      <w:pPr>
        <w:pStyle w:val="269"/>
        <w:ind w:firstLine="560"/>
      </w:pPr>
      <w:r>
        <w:t>（3）协调产业规划和项目布局、人与区域环境的关系，保护好区域环境特色。做到布局既不影响人类赖以生存与发展的大气、淡水、土地等自然环境与自然资源，又能达到发展与自然的和谐统一。</w:t>
      </w:r>
    </w:p>
    <w:p w14:paraId="2CCD7C72">
      <w:pPr>
        <w:pStyle w:val="269"/>
        <w:ind w:firstLine="560"/>
      </w:pPr>
      <w:r>
        <w:t>（4）充分考虑地域、交通特点和周边环境。规划区片项目布局、安全设防及对周边环境的影响要满足劳动安全卫生距离要求。</w:t>
      </w:r>
    </w:p>
    <w:p w14:paraId="35421744">
      <w:pPr>
        <w:pStyle w:val="269"/>
        <w:ind w:firstLine="560"/>
      </w:pPr>
      <w:r>
        <w:t>（5）基础设施规划布局要满足与规划发展项目配套最佳、投资最省、利用最方便，开发成本最低的原则。</w:t>
      </w:r>
    </w:p>
    <w:p w14:paraId="7CDEEC97">
      <w:pPr>
        <w:pStyle w:val="269"/>
        <w:ind w:firstLine="560"/>
      </w:pPr>
      <w:r>
        <w:t>（6）功能分区明确，道路、绿地、公用设施配套得当，节约土地，并适当留有一定的发展余地。</w:t>
      </w:r>
      <w:bookmarkStart w:id="448" w:name="_Toc417156863"/>
      <w:bookmarkStart w:id="449" w:name="_Toc417157150"/>
      <w:bookmarkStart w:id="450" w:name="_Toc417156775"/>
      <w:bookmarkStart w:id="451" w:name="_Toc417157231"/>
    </w:p>
    <w:p w14:paraId="74451B81">
      <w:pPr>
        <w:pStyle w:val="97"/>
        <w:numPr>
          <w:ilvl w:val="1"/>
          <w:numId w:val="4"/>
        </w:numPr>
        <w:adjustRightInd w:val="0"/>
        <w:snapToGrid w:val="0"/>
        <w:ind w:firstLineChars="0"/>
        <w:outlineLvl w:val="1"/>
        <w:rPr>
          <w:rFonts w:ascii="Times New Roman" w:hAnsi="Times New Roman" w:eastAsia="黑体"/>
          <w:b/>
          <w:color w:val="000000" w:themeColor="text1"/>
          <w:sz w:val="30"/>
          <w:szCs w:val="30"/>
          <w14:textFill>
            <w14:solidFill>
              <w14:schemeClr w14:val="tx1"/>
            </w14:solidFill>
          </w14:textFill>
        </w:rPr>
      </w:pPr>
      <w:bookmarkStart w:id="452" w:name="_Toc134812711"/>
      <w:bookmarkStart w:id="453" w:name="_Toc134813073"/>
      <w:bookmarkStart w:id="454" w:name="_Toc192675914"/>
      <w:bookmarkStart w:id="455" w:name="_Toc134813210"/>
      <w:bookmarkStart w:id="456" w:name="_Toc134813347"/>
      <w:r>
        <w:rPr>
          <w:rFonts w:ascii="Times New Roman" w:hAnsi="Times New Roman" w:eastAsia="黑体"/>
          <w:b/>
          <w:color w:val="000000" w:themeColor="text1"/>
          <w:kern w:val="0"/>
          <w:sz w:val="30"/>
          <w:szCs w:val="30"/>
          <w14:textFill>
            <w14:solidFill>
              <w14:schemeClr w14:val="tx1"/>
            </w14:solidFill>
          </w14:textFill>
        </w:rPr>
        <w:t>产业发展空间布局</w:t>
      </w:r>
      <w:bookmarkEnd w:id="448"/>
      <w:bookmarkEnd w:id="449"/>
      <w:bookmarkEnd w:id="450"/>
      <w:bookmarkEnd w:id="451"/>
      <w:bookmarkEnd w:id="452"/>
      <w:bookmarkEnd w:id="453"/>
      <w:bookmarkEnd w:id="454"/>
      <w:bookmarkEnd w:id="455"/>
      <w:bookmarkEnd w:id="456"/>
    </w:p>
    <w:p w14:paraId="3034141E">
      <w:pPr>
        <w:pStyle w:val="269"/>
        <w:ind w:firstLine="560"/>
        <w:rPr>
          <w:rFonts w:hint="eastAsia"/>
        </w:rPr>
      </w:pPr>
      <w:r>
        <w:rPr>
          <w:rFonts w:hint="eastAsia"/>
        </w:rPr>
        <w:t>本次园区规划共分为四大功能区，分别为产业区、中小企业园、教育科研片区、配套服务区。本次规划结合园区现状、园区产业发展规划，对各功能区产业发展方向提出以下建议：</w:t>
      </w:r>
    </w:p>
    <w:p w14:paraId="6F78665C">
      <w:pPr>
        <w:pStyle w:val="269"/>
        <w:ind w:firstLine="560"/>
        <w:rPr>
          <w:rFonts w:hint="eastAsia"/>
        </w:rPr>
      </w:pPr>
      <w:r>
        <w:rPr>
          <w:rFonts w:hint="eastAsia"/>
        </w:rPr>
        <w:t>（1）产业区</w:t>
      </w:r>
    </w:p>
    <w:p w14:paraId="40B0EB0E">
      <w:pPr>
        <w:pStyle w:val="269"/>
        <w:ind w:firstLine="560"/>
        <w:rPr>
          <w:rFonts w:hint="eastAsia"/>
        </w:rPr>
      </w:pPr>
      <w:r>
        <w:rPr>
          <w:rFonts w:hint="eastAsia"/>
        </w:rPr>
        <w:t>产业区主要布局装备制造产业，新材料、新能源、高端装备制造、新一代信息技术产业等战略新兴产业，节能环保及资源综合利用产业，以及其他相关配套产业。</w:t>
      </w:r>
    </w:p>
    <w:p w14:paraId="550A3EF6">
      <w:pPr>
        <w:pStyle w:val="269"/>
        <w:ind w:firstLine="560"/>
        <w:rPr>
          <w:rFonts w:hint="eastAsia"/>
        </w:rPr>
      </w:pPr>
      <w:r>
        <w:rPr>
          <w:rFonts w:hint="eastAsia"/>
        </w:rPr>
        <w:t>园区南侧的已建区开发利用程度较高，建成的企业以装备制造产业为主，已经形成装备制造产业的聚集区，该区域未来基本以腾笼换鸟的形式引进新企业，该片区重点发展装备制造产业；园区北侧的规划区目前以新能源、新材料、装备制造产业为主，已经形成单晶及下游产业、正负极材料产业、碳碳复合材料等新能源、新材料产业，汽车及零部件生产、综采装备、风电装备、光伏支架等装备制造等产业集群，各产业间相互关联程度较高，园区范围内未规划“两高”产业，污染物排放水平相对较低，产业间相互影响较小，该片区重点发展新能源、新材料、新一代信息技术产业等产业，兼顾发展装备制造、节能环保及资源综合利用等产业。</w:t>
      </w:r>
    </w:p>
    <w:p w14:paraId="5B1DD5B7">
      <w:pPr>
        <w:pStyle w:val="269"/>
        <w:ind w:firstLine="560"/>
        <w:rPr>
          <w:rFonts w:hint="eastAsia"/>
        </w:rPr>
      </w:pPr>
      <w:r>
        <w:rPr>
          <w:rFonts w:hint="eastAsia"/>
        </w:rPr>
        <w:t>各重点产业发展方向如下：</w:t>
      </w:r>
    </w:p>
    <w:p w14:paraId="5FF47571">
      <w:pPr>
        <w:pStyle w:val="269"/>
        <w:ind w:firstLine="562"/>
        <w:rPr>
          <w:rFonts w:hint="eastAsia"/>
        </w:rPr>
      </w:pPr>
      <w:r>
        <w:rPr>
          <w:rFonts w:hint="eastAsia"/>
          <w:b/>
        </w:rPr>
        <w:t>装备制造产业</w:t>
      </w:r>
      <w:r>
        <w:rPr>
          <w:rFonts w:hint="eastAsia"/>
        </w:rPr>
        <w:t>：以北奔重型汽车集团、一机集团等整车及零部件企业为依托，加大新能源汽车整车制造，装置、配件制造，新能源汽车相关设施等新能源汽车产业链打造。以交通运输装备、工程机械装备、应急装备等现有装备制造产业为依托，拓展新能源装备、节能环保、医疗器械制造等产业。此外，把握高端制造装备和产品智能化、数字化、服务化的发展趋势，提升智能制造核心部件研发水平，大力推动园区装备制造业转型升级，推动传统设备“更芯换脑”，向智能成套设备升级，将高端装备制造产业发展为具有行业竞争优势的特色产业。对标国际先进水平，推进高新技术应用转化，形成龙头引领、协作配套、技术先进、产品高端、竞争力强的中西部先进装备制造业高地。</w:t>
      </w:r>
    </w:p>
    <w:p w14:paraId="7878D626">
      <w:pPr>
        <w:pStyle w:val="269"/>
        <w:ind w:firstLine="562"/>
        <w:rPr>
          <w:rFonts w:hint="eastAsia"/>
        </w:rPr>
      </w:pPr>
      <w:r>
        <w:rPr>
          <w:rFonts w:hint="eastAsia"/>
          <w:b/>
        </w:rPr>
        <w:t>新材料、新能源、新一代信息技术产业</w:t>
      </w:r>
      <w:r>
        <w:rPr>
          <w:rFonts w:hint="eastAsia"/>
        </w:rPr>
        <w:t>：该类产业重点发展单晶硅、硅片、太阳能电池和组件等产业、半导体材料产业、硅材料应用产业及相关配套产业，进一步壮大光伏产业规模，形成光伏产业链；以杉杉锂离子电池负极材料、乾运三元正极材料项目为基础，发展正负极材料、新能源电池等新一代信息技术及应用产业；以园区现有产业为依托，积极引进先进无机非金属材料、高性能纤维及复合材料、高端石墨制品、石墨烯等前沿新材料及应用产业；围绕氢能制、运、储、用环节的需求，加快构建有利于氢能产业发展和示范应用的装备制造体系；集中发展军工特种材料、核材料、纳米材料、高分子新材料、新型建筑材料等先进新材料及应用产业；融合发展云计算、大数据、物联网、工业互联网、人工智能等产业。</w:t>
      </w:r>
    </w:p>
    <w:p w14:paraId="5CD8D3AA">
      <w:pPr>
        <w:pStyle w:val="269"/>
        <w:ind w:firstLine="560"/>
        <w:rPr>
          <w:rFonts w:hint="eastAsia"/>
        </w:rPr>
      </w:pPr>
      <w:r>
        <w:rPr>
          <w:rFonts w:hint="eastAsia"/>
        </w:rPr>
        <w:t>节能环保及资源综合利用产业：大力发展高效节能产业，加强工业节能技术装备研发和应用；积极引进生产工艺先进、低污染的节能材料产品加工；全面引进技术先进的成套环保装备制造产业、在线监测仪器设备和配套部件的生产；在资源循环利用产业方面，以包头市“无废城市”试点建设为契机，主要发展报废汽车和废旧电子器件智能拆解产业和装备研发、废旧硅料高质化回收利用、废旧风电、光伏部件再生利用、新能源电池的回收再利用，以及发展与园区产业配套的资源综合利用产业。</w:t>
      </w:r>
    </w:p>
    <w:p w14:paraId="6ACCCEB7">
      <w:pPr>
        <w:pStyle w:val="269"/>
        <w:ind w:firstLine="562"/>
        <w:rPr>
          <w:rFonts w:hint="eastAsia"/>
        </w:rPr>
      </w:pPr>
      <w:r>
        <w:rPr>
          <w:rFonts w:hint="eastAsia"/>
          <w:b/>
        </w:rPr>
        <w:t>其他配套产业</w:t>
      </w:r>
      <w:r>
        <w:rPr>
          <w:rFonts w:hint="eastAsia"/>
        </w:rPr>
        <w:t>：加强园区物流信息平台、仓储中心、配送服务中心、停车场、重型汽车销售等物流设施建设，加快形成生产加工、包装、货物集散、中转、配送、流通于一体的综合物流中心；以北大科技园为基础，积极引进科技服务产业，加强科研成果转化；以满足园区居民和产业工人生活消费为目标，发展生物医药、社区服务、文化休闲、食品产业等生活性服务业；基于园区及入园企业基础设施建设，配套如水泥制造产业、砼结构构建制造等基础设施制造产业。</w:t>
      </w:r>
    </w:p>
    <w:p w14:paraId="5D5C7662">
      <w:pPr>
        <w:pStyle w:val="269"/>
        <w:ind w:firstLine="560"/>
        <w:rPr>
          <w:rFonts w:hint="eastAsia"/>
        </w:rPr>
      </w:pPr>
      <w:r>
        <w:rPr>
          <w:rFonts w:hint="eastAsia"/>
        </w:rPr>
        <w:t xml:space="preserve">园区南部的已建区开发利用程度较高，建成的企业以装备制造产业为主，已经形成装备制造产业的聚集区，该区域未来基本以腾笼换鸟的形式引进新企业，企业仍主要以装备制造产业为主；园区北侧的规划区目前以新能源、新材料、装备制造产业为主，已经形成单晶及下游产业、正负极材料产业、碳碳复合材料等新能源、新材料产业，汽车及零部件生产、综采装备、风电装备、光伏支架等装备制造等产业。各产业间相互关联程度较高，园区范围内未规划“两高”产业，污染物排放水平相对较低，产业间相互影响较小； </w:t>
      </w:r>
    </w:p>
    <w:p w14:paraId="5EF774E6">
      <w:pPr>
        <w:pStyle w:val="269"/>
        <w:ind w:firstLine="560"/>
        <w:rPr>
          <w:rFonts w:hint="eastAsia"/>
        </w:rPr>
      </w:pPr>
      <w:r>
        <w:rPr>
          <w:rFonts w:hint="eastAsia"/>
        </w:rPr>
        <w:t>此外，产业区内可发展与各产业发展方向相关的配套产业。</w:t>
      </w:r>
    </w:p>
    <w:p w14:paraId="5D0CBE82">
      <w:pPr>
        <w:pStyle w:val="269"/>
        <w:ind w:firstLine="560"/>
        <w:rPr>
          <w:rFonts w:hint="eastAsia"/>
        </w:rPr>
      </w:pPr>
      <w:r>
        <w:rPr>
          <w:rFonts w:hint="eastAsia"/>
        </w:rPr>
        <w:t>（2）中小企业园</w:t>
      </w:r>
    </w:p>
    <w:p w14:paraId="53868556">
      <w:pPr>
        <w:pStyle w:val="269"/>
        <w:ind w:firstLine="560"/>
        <w:rPr>
          <w:rFonts w:hint="eastAsia"/>
        </w:rPr>
      </w:pPr>
      <w:r>
        <w:rPr>
          <w:rFonts w:hint="eastAsia"/>
        </w:rPr>
        <w:t>该片区产业方向为以低污染、低风险企业为主。</w:t>
      </w:r>
    </w:p>
    <w:p w14:paraId="64783BD6">
      <w:pPr>
        <w:pStyle w:val="269"/>
        <w:ind w:firstLine="560"/>
        <w:rPr>
          <w:rFonts w:hint="eastAsia"/>
        </w:rPr>
      </w:pPr>
      <w:r>
        <w:rPr>
          <w:rFonts w:hint="eastAsia"/>
        </w:rPr>
        <w:t>（3）教育科研片区</w:t>
      </w:r>
    </w:p>
    <w:p w14:paraId="533DF237">
      <w:pPr>
        <w:pStyle w:val="269"/>
        <w:ind w:firstLine="560"/>
        <w:rPr>
          <w:rFonts w:hint="eastAsia"/>
        </w:rPr>
      </w:pPr>
      <w:r>
        <w:rPr>
          <w:rFonts w:hint="eastAsia"/>
        </w:rPr>
        <w:t>教育科研片区主要为园区产业的发展输送技术人才。</w:t>
      </w:r>
    </w:p>
    <w:p w14:paraId="2DFAFB55">
      <w:pPr>
        <w:pStyle w:val="269"/>
        <w:ind w:firstLine="560"/>
        <w:rPr>
          <w:rFonts w:hint="eastAsia"/>
        </w:rPr>
      </w:pPr>
      <w:r>
        <w:rPr>
          <w:rFonts w:hint="eastAsia"/>
        </w:rPr>
        <w:t>（4）配套服务区</w:t>
      </w:r>
    </w:p>
    <w:p w14:paraId="7FBEB12A">
      <w:pPr>
        <w:pStyle w:val="269"/>
        <w:ind w:firstLine="560"/>
        <w:sectPr>
          <w:pgSz w:w="11907" w:h="16840"/>
          <w:pgMar w:top="1440" w:right="1800" w:bottom="1440" w:left="1800" w:header="851" w:footer="992" w:gutter="0"/>
          <w:pgNumType w:start="1"/>
          <w:cols w:space="720" w:num="1"/>
          <w:docGrid w:type="linesAndChars" w:linePitch="381" w:charSpace="0"/>
        </w:sectPr>
      </w:pPr>
      <w:r>
        <w:rPr>
          <w:rFonts w:hint="eastAsia"/>
        </w:rPr>
        <w:t>配套服务区主要是为园区范围内搬迁村庄及园区就业人员提供生活安置区。</w:t>
      </w:r>
    </w:p>
    <w:p w14:paraId="246B3DEB">
      <w:pPr>
        <w:pStyle w:val="269"/>
        <w:ind w:firstLine="560"/>
        <w:jc w:val="center"/>
      </w:pPr>
      <w:r>
        <w:drawing>
          <wp:inline distT="0" distB="0" distL="0" distR="0">
            <wp:extent cx="6831965" cy="4700270"/>
            <wp:effectExtent l="0" t="0" r="6985"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2" cstate="print">
                      <a:extLst>
                        <a:ext uri="{28A0092B-C50C-407E-A947-70E740481C1C}">
                          <a14:useLocalDpi xmlns:a14="http://schemas.microsoft.com/office/drawing/2010/main" val="0"/>
                        </a:ext>
                      </a:extLst>
                    </a:blip>
                    <a:srcRect t="14545" b="16657"/>
                    <a:stretch>
                      <a:fillRect/>
                    </a:stretch>
                  </pic:blipFill>
                  <pic:spPr>
                    <a:xfrm>
                      <a:off x="0" y="0"/>
                      <a:ext cx="6834676" cy="4702119"/>
                    </a:xfrm>
                    <a:prstGeom prst="rect">
                      <a:avLst/>
                    </a:prstGeom>
                    <a:ln>
                      <a:noFill/>
                    </a:ln>
                  </pic:spPr>
                </pic:pic>
              </a:graphicData>
            </a:graphic>
          </wp:inline>
        </w:drawing>
      </w:r>
    </w:p>
    <w:p w14:paraId="1C686E6D">
      <w:pPr>
        <w:pStyle w:val="269"/>
        <w:ind w:firstLine="560"/>
        <w:jc w:val="center"/>
        <w:sectPr>
          <w:type w:val="continuous"/>
          <w:pgSz w:w="16840" w:h="11907" w:orient="landscape"/>
          <w:pgMar w:top="1440" w:right="1800" w:bottom="1440" w:left="1800" w:header="851" w:footer="992" w:gutter="0"/>
          <w:cols w:space="720" w:num="1"/>
          <w:docGrid w:linePitch="312" w:charSpace="0"/>
        </w:sectPr>
      </w:pPr>
      <w:r>
        <w:rPr>
          <w:rFonts w:hint="eastAsia"/>
        </w:rPr>
        <w:t>图5-1装备制造产业园区功能分区图</w:t>
      </w:r>
    </w:p>
    <w:p w14:paraId="6F94BD9D">
      <w:pPr>
        <w:adjustRightInd w:val="0"/>
        <w:snapToGrid w:val="0"/>
        <w:ind w:firstLine="199" w:firstLineChars="55"/>
        <w:jc w:val="left"/>
        <w:outlineLvl w:val="0"/>
        <w:rPr>
          <w:rFonts w:eastAsia="黑体"/>
          <w:b/>
          <w:sz w:val="36"/>
          <w:szCs w:val="36"/>
        </w:rPr>
      </w:pPr>
      <w:bookmarkStart w:id="457" w:name="_Toc134813074"/>
      <w:bookmarkStart w:id="458" w:name="_Toc192675915"/>
      <w:bookmarkStart w:id="459" w:name="_Toc134813211"/>
      <w:bookmarkStart w:id="460" w:name="_Toc134812712"/>
      <w:bookmarkStart w:id="461" w:name="_Toc134813348"/>
      <w:bookmarkStart w:id="462" w:name="_Toc134813394"/>
      <w:bookmarkStart w:id="463" w:name="_Toc134813257"/>
      <w:bookmarkStart w:id="464" w:name="_Toc134813120"/>
      <w:r>
        <w:rPr>
          <w:rFonts w:eastAsia="黑体"/>
          <w:b/>
          <w:sz w:val="36"/>
          <w:szCs w:val="36"/>
        </w:rPr>
        <w:t>6 产业发展规划</w:t>
      </w:r>
      <w:bookmarkEnd w:id="457"/>
      <w:bookmarkEnd w:id="458"/>
      <w:bookmarkEnd w:id="459"/>
      <w:bookmarkEnd w:id="460"/>
      <w:bookmarkEnd w:id="461"/>
    </w:p>
    <w:p w14:paraId="24EC1FD2">
      <w:pPr>
        <w:pStyle w:val="97"/>
        <w:numPr>
          <w:ilvl w:val="0"/>
          <w:numId w:val="4"/>
        </w:numPr>
        <w:adjustRightInd w:val="0"/>
        <w:snapToGrid w:val="0"/>
        <w:spacing w:before="240" w:beforeLines="100"/>
        <w:ind w:firstLineChars="0"/>
        <w:jc w:val="left"/>
        <w:outlineLvl w:val="1"/>
        <w:rPr>
          <w:rFonts w:ascii="Times New Roman" w:hAnsi="Times New Roman" w:eastAsia="黑体"/>
          <w:b/>
          <w:vanish/>
          <w:sz w:val="30"/>
          <w:szCs w:val="30"/>
        </w:rPr>
      </w:pPr>
      <w:bookmarkStart w:id="465" w:name="_Toc190952293"/>
      <w:bookmarkEnd w:id="465"/>
      <w:bookmarkStart w:id="466" w:name="_Toc134813075"/>
      <w:bookmarkEnd w:id="466"/>
      <w:bookmarkStart w:id="467" w:name="_Toc186205273"/>
      <w:bookmarkEnd w:id="467"/>
      <w:bookmarkStart w:id="468" w:name="_Toc159406750"/>
      <w:bookmarkEnd w:id="468"/>
      <w:bookmarkStart w:id="469" w:name="_Toc145341230"/>
      <w:bookmarkEnd w:id="469"/>
      <w:bookmarkStart w:id="470" w:name="_Toc134812713"/>
      <w:bookmarkEnd w:id="470"/>
      <w:bookmarkStart w:id="471" w:name="_Toc134812855"/>
      <w:bookmarkEnd w:id="471"/>
      <w:bookmarkStart w:id="472" w:name="_Toc190952844"/>
      <w:bookmarkEnd w:id="472"/>
      <w:bookmarkStart w:id="473" w:name="_Toc148367086"/>
      <w:bookmarkEnd w:id="473"/>
      <w:bookmarkStart w:id="474" w:name="_Toc161133122"/>
      <w:bookmarkEnd w:id="474"/>
      <w:bookmarkStart w:id="475" w:name="_Toc192675916"/>
      <w:bookmarkEnd w:id="475"/>
      <w:bookmarkStart w:id="476" w:name="_Toc133136318"/>
      <w:bookmarkEnd w:id="476"/>
      <w:bookmarkStart w:id="477" w:name="_Toc156553042"/>
      <w:bookmarkEnd w:id="477"/>
      <w:bookmarkStart w:id="478" w:name="_Toc150947964"/>
      <w:bookmarkEnd w:id="478"/>
      <w:bookmarkStart w:id="479" w:name="_Toc161132282"/>
      <w:bookmarkEnd w:id="479"/>
      <w:bookmarkStart w:id="480" w:name="_Toc134813349"/>
      <w:bookmarkEnd w:id="480"/>
      <w:bookmarkStart w:id="481" w:name="_Toc144211321"/>
      <w:bookmarkEnd w:id="481"/>
      <w:bookmarkStart w:id="482" w:name="_Toc182320687"/>
      <w:bookmarkEnd w:id="482"/>
      <w:bookmarkStart w:id="483" w:name="_Toc156553672"/>
      <w:bookmarkEnd w:id="483"/>
      <w:bookmarkStart w:id="484" w:name="_Toc134813212"/>
      <w:bookmarkEnd w:id="484"/>
      <w:bookmarkStart w:id="485" w:name="_Toc134813783"/>
      <w:bookmarkEnd w:id="485"/>
      <w:bookmarkStart w:id="486" w:name="_Toc145344474"/>
      <w:bookmarkEnd w:id="486"/>
      <w:bookmarkStart w:id="487" w:name="_Toc162446322"/>
      <w:bookmarkEnd w:id="487"/>
      <w:bookmarkStart w:id="488" w:name="_Toc134813350"/>
      <w:bookmarkStart w:id="489" w:name="_Toc132821410"/>
      <w:bookmarkStart w:id="490" w:name="_Toc134812714"/>
      <w:bookmarkStart w:id="491" w:name="_Toc134813213"/>
      <w:bookmarkStart w:id="492" w:name="_Toc134813076"/>
    </w:p>
    <w:p w14:paraId="41B4A187">
      <w:pPr>
        <w:pStyle w:val="97"/>
        <w:numPr>
          <w:ilvl w:val="1"/>
          <w:numId w:val="4"/>
        </w:numPr>
        <w:adjustRightInd w:val="0"/>
        <w:snapToGrid w:val="0"/>
        <w:spacing w:before="240" w:beforeLines="100"/>
        <w:ind w:firstLineChars="0"/>
        <w:jc w:val="left"/>
        <w:outlineLvl w:val="1"/>
        <w:rPr>
          <w:rFonts w:ascii="Times New Roman" w:hAnsi="Times New Roman" w:eastAsia="黑体"/>
          <w:b/>
          <w:sz w:val="30"/>
          <w:szCs w:val="30"/>
        </w:rPr>
      </w:pPr>
      <w:bookmarkStart w:id="493" w:name="_Toc192675917"/>
      <w:r>
        <w:rPr>
          <w:rFonts w:ascii="Times New Roman" w:hAnsi="Times New Roman" w:eastAsia="黑体"/>
          <w:b/>
          <w:sz w:val="30"/>
          <w:szCs w:val="30"/>
        </w:rPr>
        <w:t>装备制造产业</w:t>
      </w:r>
      <w:bookmarkEnd w:id="493"/>
    </w:p>
    <w:p w14:paraId="6B0D8FFB">
      <w:pPr>
        <w:pStyle w:val="97"/>
        <w:numPr>
          <w:ilvl w:val="2"/>
          <w:numId w:val="4"/>
        </w:numPr>
        <w:adjustRightInd w:val="0"/>
        <w:snapToGrid w:val="0"/>
        <w:spacing w:before="240" w:beforeLines="10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494" w:name="_Toc134813079"/>
      <w:bookmarkStart w:id="495" w:name="_Toc132821413"/>
      <w:bookmarkStart w:id="496" w:name="_Toc134813216"/>
      <w:bookmarkStart w:id="497" w:name="_Toc134812717"/>
      <w:bookmarkStart w:id="498" w:name="_Toc134813353"/>
      <w:bookmarkStart w:id="499" w:name="_Toc192675918"/>
      <w:r>
        <w:rPr>
          <w:rFonts w:ascii="Times New Roman" w:hAnsi="Times New Roman" w:eastAsia="黑体"/>
          <w:b/>
          <w:color w:val="000000" w:themeColor="text1"/>
          <w:sz w:val="30"/>
          <w:szCs w:val="30"/>
          <w14:textFill>
            <w14:solidFill>
              <w14:schemeClr w14:val="tx1"/>
            </w14:solidFill>
          </w14:textFill>
        </w:rPr>
        <w:t>工程机械装备制造</w:t>
      </w:r>
      <w:bookmarkEnd w:id="494"/>
      <w:bookmarkEnd w:id="495"/>
      <w:bookmarkEnd w:id="496"/>
      <w:bookmarkEnd w:id="497"/>
      <w:bookmarkEnd w:id="498"/>
      <w:bookmarkEnd w:id="499"/>
    </w:p>
    <w:p w14:paraId="02E6D6AA">
      <w:pPr>
        <w:pStyle w:val="97"/>
        <w:numPr>
          <w:ilvl w:val="1"/>
          <w:numId w:val="5"/>
        </w:numPr>
        <w:adjustRightInd w:val="0"/>
        <w:snapToGrid w:val="0"/>
        <w:ind w:firstLineChars="0"/>
        <w:jc w:val="left"/>
        <w:outlineLvl w:val="2"/>
        <w:rPr>
          <w:rFonts w:ascii="Times New Roman" w:hAnsi="Times New Roman"/>
          <w:b/>
          <w:vanish/>
          <w:color w:val="000000" w:themeColor="text1"/>
          <w:szCs w:val="28"/>
          <w14:textFill>
            <w14:solidFill>
              <w14:schemeClr w14:val="tx1"/>
            </w14:solidFill>
          </w14:textFill>
        </w:rPr>
      </w:pPr>
      <w:bookmarkStart w:id="500" w:name="_Toc186205276"/>
      <w:bookmarkEnd w:id="500"/>
      <w:bookmarkStart w:id="501" w:name="_Toc161132285"/>
      <w:bookmarkEnd w:id="501"/>
      <w:bookmarkStart w:id="502" w:name="_Toc148367091"/>
      <w:bookmarkEnd w:id="502"/>
      <w:bookmarkStart w:id="503" w:name="_Toc182320690"/>
      <w:bookmarkEnd w:id="503"/>
      <w:bookmarkStart w:id="504" w:name="_Toc192675919"/>
      <w:bookmarkEnd w:id="504"/>
      <w:bookmarkStart w:id="505" w:name="_Toc150947969"/>
      <w:bookmarkEnd w:id="505"/>
      <w:bookmarkStart w:id="506" w:name="_Toc133136328"/>
      <w:bookmarkEnd w:id="506"/>
      <w:bookmarkStart w:id="507" w:name="_Toc161133125"/>
      <w:bookmarkEnd w:id="507"/>
      <w:bookmarkStart w:id="508" w:name="_Toc190952847"/>
      <w:bookmarkEnd w:id="508"/>
      <w:bookmarkStart w:id="509" w:name="_Toc134813080"/>
      <w:bookmarkEnd w:id="509"/>
      <w:bookmarkStart w:id="510" w:name="_Toc156553675"/>
      <w:bookmarkEnd w:id="510"/>
      <w:bookmarkStart w:id="511" w:name="_Toc134813788"/>
      <w:bookmarkEnd w:id="511"/>
      <w:bookmarkStart w:id="512" w:name="_Toc134813354"/>
      <w:bookmarkEnd w:id="512"/>
      <w:bookmarkStart w:id="513" w:name="_Toc134812718"/>
      <w:bookmarkEnd w:id="513"/>
      <w:bookmarkStart w:id="514" w:name="_Toc145344479"/>
      <w:bookmarkEnd w:id="514"/>
      <w:bookmarkStart w:id="515" w:name="_Toc159406753"/>
      <w:bookmarkEnd w:id="515"/>
      <w:bookmarkStart w:id="516" w:name="_Toc132821414"/>
      <w:bookmarkEnd w:id="516"/>
      <w:bookmarkStart w:id="517" w:name="_Toc131949528"/>
      <w:bookmarkEnd w:id="517"/>
      <w:bookmarkStart w:id="518" w:name="_Toc162446325"/>
      <w:bookmarkEnd w:id="518"/>
      <w:bookmarkStart w:id="519" w:name="_Toc134812860"/>
      <w:bookmarkEnd w:id="519"/>
      <w:bookmarkStart w:id="520" w:name="_Toc134813217"/>
      <w:bookmarkEnd w:id="520"/>
      <w:bookmarkStart w:id="521" w:name="_Toc144211326"/>
      <w:bookmarkEnd w:id="521"/>
      <w:bookmarkStart w:id="522" w:name="_Toc190952296"/>
      <w:bookmarkEnd w:id="522"/>
      <w:bookmarkStart w:id="523" w:name="_Toc156553045"/>
      <w:bookmarkEnd w:id="523"/>
      <w:bookmarkStart w:id="524" w:name="_Toc145341235"/>
      <w:bookmarkEnd w:id="524"/>
    </w:p>
    <w:p w14:paraId="0E589C42">
      <w:pPr>
        <w:pStyle w:val="269"/>
        <w:ind w:firstLine="560"/>
      </w:pPr>
      <w:r>
        <w:t>1、行业背景和发展趋势</w:t>
      </w:r>
    </w:p>
    <w:p w14:paraId="1323EDC3">
      <w:pPr>
        <w:pStyle w:val="269"/>
        <w:ind w:firstLine="560"/>
      </w:pPr>
      <w:r>
        <w:t>工程机械装备制造产业是国家基础设施建设的重要支力，也是国民经济发展的重要领域。目前，全球工程机械市场规模已接近4000亿美元，中国成为全球最大的工程机械生产和消费国。</w:t>
      </w:r>
    </w:p>
    <w:p w14:paraId="60A6EC06">
      <w:pPr>
        <w:pStyle w:val="269"/>
        <w:ind w:firstLine="560"/>
      </w:pPr>
      <w:r>
        <w:t>在制造技术方面，工程机械装备制造产业进入了智能化、网络化和数字化的新时代，生产工艺和技术不断升级改进，实现了产品质量和生产效率的提升。</w:t>
      </w:r>
    </w:p>
    <w:p w14:paraId="2EAEF41E">
      <w:pPr>
        <w:pStyle w:val="269"/>
        <w:ind w:firstLine="560"/>
      </w:pPr>
      <w:r>
        <w:t>在市场需求方面，随着城市化和基础设施建设的不断推进，工程机械装备的市场需求也不断增长。同时，新兴领域如环保、节能、智能制造等的发展也给工程机械装备制造产业带来新机遇。</w:t>
      </w:r>
    </w:p>
    <w:p w14:paraId="32A6B4AE">
      <w:pPr>
        <w:pStyle w:val="269"/>
        <w:ind w:firstLine="560"/>
      </w:pPr>
      <w:r>
        <w:t>《内蒙古自治区国民经济和社会发展第十四个五年规划和2035年远景目标纲要》文中提出，推进矿用自卸车、推土机、重型汽车等交通运输设备和采掘、装载等工程机械数字化、智能化制造，提升关键零部件国产化水平，促进运输设备和工程机械产品提档升级。</w:t>
      </w:r>
    </w:p>
    <w:p w14:paraId="2B376EA9">
      <w:pPr>
        <w:pStyle w:val="269"/>
        <w:ind w:firstLine="560"/>
      </w:pPr>
      <w:r>
        <w:t>2、产业发展条件和基础</w:t>
      </w:r>
    </w:p>
    <w:p w14:paraId="3D7517BD">
      <w:pPr>
        <w:pStyle w:val="269"/>
        <w:ind w:firstLine="560"/>
      </w:pPr>
      <w:r>
        <w:t>多年来，园区通过不断拉长产业链条，拓展产业群体，形成了以一机等为龙头，集推土机、挖掘机、非公路矿用车、防护栏等综合实力强的工程装备产业集群。工程装备产业中主要产品为推土机、非公路用宽体矿用车、防护栏，年产能分别为推土机300台、非公路用宽体矿用车1000台、防护栏3.4万吨。一机大地石油、联德石油、丰达石油凭借人才、技术、设备、品牌等方面强大的实力优势，不断开拓创新，已形成国内生产抽油杆最具专业化水平的生产基地，年产能为抽油杆348万根、钻铤10000支。</w:t>
      </w:r>
    </w:p>
    <w:p w14:paraId="5DC3C7EF">
      <w:pPr>
        <w:pStyle w:val="269"/>
        <w:ind w:firstLine="560"/>
      </w:pPr>
      <w:r>
        <w:t>3、发展思路及目标</w:t>
      </w:r>
    </w:p>
    <w:p w14:paraId="68FFE964">
      <w:pPr>
        <w:pStyle w:val="269"/>
        <w:ind w:firstLine="560"/>
      </w:pPr>
      <w:r>
        <w:t>工程机械行业是国家装备制造业的重点产业之一，行业的发展与国民经济现代化发展和基础设施水平息息相关。当年，国内疫情得到有效控制后，工程机械设备的补偿性需求开始快速释放，叠加国家加大逆周期调节力度，基建投资持续上行，有效拉动了工程机械设备需求。</w:t>
      </w:r>
    </w:p>
    <w:p w14:paraId="142C831C">
      <w:pPr>
        <w:pStyle w:val="269"/>
        <w:ind w:firstLine="560"/>
      </w:pPr>
      <w:r>
        <w:t>从产品结构来看，挖掘机、装载机、叉车、混凝土搅拌车四个常用工程机械设备占据了我国工程机械市场上绝大部分的份额，其中叉车在工程机械设备中占据绝对市场地位。下一步发展目标可分为以下几点：</w:t>
      </w:r>
    </w:p>
    <w:p w14:paraId="30497A69">
      <w:pPr>
        <w:pStyle w:val="269"/>
        <w:ind w:firstLine="560"/>
      </w:pPr>
      <w:r>
        <w:t>（1）推动设计、制造和维护服务的数字化、智能化、自动化，提升整机工艺水平和生产效率。</w:t>
      </w:r>
    </w:p>
    <w:p w14:paraId="475C7C5E">
      <w:pPr>
        <w:pStyle w:val="269"/>
        <w:ind w:firstLine="560"/>
      </w:pPr>
      <w:r>
        <w:t>（2）强研究和开发，提高机械设备的可靠性、稳定性和安全性，在满足市场需求的基础上，不断推陈出新，引领行业技术发展。</w:t>
      </w:r>
    </w:p>
    <w:p w14:paraId="56561CB1">
      <w:pPr>
        <w:pStyle w:val="269"/>
        <w:ind w:firstLine="560"/>
      </w:pPr>
      <w:r>
        <w:t>（3）加大技术创新力度，培育一批“中国智造”工程机械科技创新企业，推进“中国制造 2025”战略。</w:t>
      </w:r>
    </w:p>
    <w:p w14:paraId="310A073C">
      <w:pPr>
        <w:pStyle w:val="269"/>
        <w:ind w:firstLine="560"/>
      </w:pPr>
      <w:r>
        <w:t>4、发展方向及重点</w:t>
      </w:r>
    </w:p>
    <w:p w14:paraId="5A82824E">
      <w:pPr>
        <w:pStyle w:val="269"/>
        <w:ind w:firstLine="560"/>
      </w:pPr>
      <w:r>
        <w:t>未来园区在依托现有工程机械装备生产企业的前提下，加快推动工程机械装备与物联网、大数据等新一代信息技术融合发展，对接行业需求，加快产品升级更新，提升工程机械设备产品智能化。</w:t>
      </w:r>
    </w:p>
    <w:p w14:paraId="2CEACA06">
      <w:pPr>
        <w:pStyle w:val="269"/>
        <w:ind w:firstLine="560"/>
      </w:pPr>
      <w:r>
        <w:t>（1）矿山专用设备</w:t>
      </w:r>
    </w:p>
    <w:p w14:paraId="41965131">
      <w:pPr>
        <w:pStyle w:val="269"/>
        <w:ind w:firstLine="560"/>
      </w:pPr>
      <w:r>
        <w:t>园区可基于现有工程机械制造优势，采取引进技术和自主开发相结合，在技术引进基础上再创新和集成创新，大力发展大型矿山成套专用设备制造、洗选设备、高速推土机、无人驾驶矿用车等矿山机械设备制造；同时通过制造配套传感器、控制器、数据采集、无线通信等技术手段，实现设备自动化、智能化、远程监测与控制，从而提高矿山设备的生产效率、质量、安全性和环保性。</w:t>
      </w:r>
    </w:p>
    <w:p w14:paraId="7D4A6D96">
      <w:pPr>
        <w:pStyle w:val="269"/>
        <w:ind w:firstLine="560"/>
      </w:pPr>
      <w:r>
        <w:t>（2）综采设备</w:t>
      </w:r>
    </w:p>
    <w:p w14:paraId="61BC1DE1">
      <w:pPr>
        <w:pStyle w:val="269"/>
        <w:ind w:firstLine="560"/>
      </w:pPr>
      <w:r>
        <w:t>园区综采设备以煤炭、石油开采设备为主，构建以大项目为重点，以大企业为龙头、中小企业配套、分工有序的现代综采装备产业格局。通过技术引进和自主研发等多种途径，重点发展石油无缝管、抽油杆、钻杆、钻铤等石油综采设备，接续发展钻井设备、采油设备及关键零部件加工；推动发展盾构机、掘进机、采煤机、液压支架、刮板运输机、井下救生舱、防爆运输等设备，接续发展煤炭综采成套装备；积极发展配套电器制造及器材装备，提供定制性产品和定制性装备制造服务，积极打造工程机械装备制造基地。</w:t>
      </w:r>
    </w:p>
    <w:p w14:paraId="1A59980D">
      <w:pPr>
        <w:pStyle w:val="269"/>
        <w:ind w:firstLine="0" w:firstLineChars="0"/>
        <w:jc w:val="center"/>
      </w:pPr>
      <w:r>
        <w:object>
          <v:shape id="_x0000_i1025" o:spt="75" type="#_x0000_t75" style="height:292.1pt;width:409.6pt;" o:ole="t" filled="f" o:preferrelative="t" stroked="f" coordsize="21600,21600">
            <v:path/>
            <v:fill on="f" focussize="0,0"/>
            <v:stroke on="f" joinstyle="miter"/>
            <v:imagedata r:id="rId24" o:title=""/>
            <o:lock v:ext="edit" aspectratio="t"/>
            <w10:wrap type="none"/>
            <w10:anchorlock/>
          </v:shape>
          <o:OLEObject Type="Embed" ProgID="Visio.Drawing.11" ShapeID="_x0000_i1025" DrawAspect="Content" ObjectID="_1468075725" r:id="rId23">
            <o:LockedField>false</o:LockedField>
          </o:OLEObject>
        </w:object>
      </w:r>
    </w:p>
    <w:p w14:paraId="50660F36">
      <w:pPr>
        <w:pStyle w:val="269"/>
        <w:ind w:firstLine="0" w:firstLineChars="0"/>
        <w:jc w:val="center"/>
      </w:pPr>
      <w:r>
        <w:rPr>
          <w:rFonts w:hint="eastAsia"/>
        </w:rPr>
        <w:t>图6.1-1</w:t>
      </w:r>
      <w:r>
        <w:t xml:space="preserve"> </w:t>
      </w:r>
      <w:r>
        <w:rPr>
          <w:rFonts w:hint="eastAsia"/>
        </w:rPr>
        <w:t>工程机械装备制造产业链规划图</w:t>
      </w:r>
    </w:p>
    <w:p w14:paraId="09313703">
      <w:pPr>
        <w:pStyle w:val="269"/>
        <w:ind w:firstLine="560"/>
      </w:pPr>
      <w:r>
        <w:t>5、产业重点方向规划</w:t>
      </w:r>
    </w:p>
    <w:p w14:paraId="0A0D6340">
      <w:pPr>
        <w:pStyle w:val="269"/>
        <w:ind w:firstLine="560"/>
      </w:pPr>
      <w:r>
        <w:t>（1）重点方向规划</w:t>
      </w:r>
    </w:p>
    <w:p w14:paraId="44D5632E">
      <w:pPr>
        <w:pStyle w:val="269"/>
        <w:ind w:firstLine="560"/>
      </w:pPr>
      <w:r>
        <w:t>工程机械装备制造产业重点方向规划见表6.1-1。</w:t>
      </w:r>
    </w:p>
    <w:p w14:paraId="49A43372">
      <w:pPr>
        <w:pStyle w:val="264"/>
      </w:pPr>
      <w:r>
        <w:t>表6.1-1 工程机械装备制造产业重点方向</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016"/>
        <w:gridCol w:w="4178"/>
        <w:gridCol w:w="1141"/>
        <w:gridCol w:w="1644"/>
      </w:tblGrid>
      <w:tr w14:paraId="7708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15807ED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序号</w:t>
            </w:r>
          </w:p>
        </w:tc>
        <w:tc>
          <w:tcPr>
            <w:tcW w:w="0" w:type="auto"/>
            <w:shd w:val="clear" w:color="auto" w:fill="auto"/>
            <w:vAlign w:val="center"/>
          </w:tcPr>
          <w:p w14:paraId="70E8A8B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制造项目</w:t>
            </w:r>
          </w:p>
        </w:tc>
        <w:tc>
          <w:tcPr>
            <w:tcW w:w="0" w:type="auto"/>
            <w:shd w:val="clear" w:color="auto" w:fill="auto"/>
            <w:vAlign w:val="center"/>
          </w:tcPr>
          <w:p w14:paraId="10944CD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重点方向</w:t>
            </w:r>
          </w:p>
        </w:tc>
        <w:tc>
          <w:tcPr>
            <w:tcW w:w="0" w:type="auto"/>
            <w:shd w:val="clear" w:color="auto" w:fill="auto"/>
            <w:vAlign w:val="center"/>
          </w:tcPr>
          <w:p w14:paraId="38BD21B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p w14:paraId="0EC11FD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c>
          <w:tcPr>
            <w:tcW w:w="0" w:type="auto"/>
            <w:vAlign w:val="center"/>
          </w:tcPr>
          <w:p w14:paraId="2DB1807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2035年末新增规模/产值</w:t>
            </w:r>
          </w:p>
        </w:tc>
      </w:tr>
      <w:tr w14:paraId="67A3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6096A2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0" w:type="auto"/>
            <w:vAlign w:val="center"/>
          </w:tcPr>
          <w:p w14:paraId="7F87DA9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矿山专用设备</w:t>
            </w:r>
          </w:p>
        </w:tc>
        <w:tc>
          <w:tcPr>
            <w:tcW w:w="0" w:type="auto"/>
            <w:vAlign w:val="center"/>
          </w:tcPr>
          <w:p w14:paraId="241B0E0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大型矿山成套专用设备制造、洗选设备、高速推土机、无人驾驶矿用车等</w:t>
            </w:r>
          </w:p>
        </w:tc>
        <w:tc>
          <w:tcPr>
            <w:tcW w:w="0" w:type="auto"/>
            <w:vMerge w:val="restart"/>
            <w:vAlign w:val="center"/>
          </w:tcPr>
          <w:p w14:paraId="65D278F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10亿元</w:t>
            </w:r>
          </w:p>
        </w:tc>
        <w:tc>
          <w:tcPr>
            <w:tcW w:w="0" w:type="auto"/>
            <w:vMerge w:val="restart"/>
            <w:vAlign w:val="center"/>
          </w:tcPr>
          <w:p w14:paraId="0B0C331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15亿元</w:t>
            </w:r>
          </w:p>
        </w:tc>
      </w:tr>
      <w:tr w14:paraId="0980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79D31A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0" w:type="auto"/>
            <w:vAlign w:val="center"/>
          </w:tcPr>
          <w:p w14:paraId="0D551EB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综采设备</w:t>
            </w:r>
          </w:p>
        </w:tc>
        <w:tc>
          <w:tcPr>
            <w:tcW w:w="0" w:type="auto"/>
            <w:vAlign w:val="center"/>
          </w:tcPr>
          <w:p w14:paraId="5C65124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石油钻具、井下综采装置、高效固液分离装置、控制系统、输送油管等</w:t>
            </w:r>
          </w:p>
        </w:tc>
        <w:tc>
          <w:tcPr>
            <w:tcW w:w="0" w:type="auto"/>
            <w:vMerge w:val="continue"/>
            <w:vAlign w:val="center"/>
          </w:tcPr>
          <w:p w14:paraId="6EA61257">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055C2B09">
            <w:pPr>
              <w:widowControl/>
              <w:spacing w:line="240" w:lineRule="auto"/>
              <w:ind w:firstLine="0" w:firstLineChars="0"/>
              <w:jc w:val="center"/>
              <w:rPr>
                <w:color w:val="000000" w:themeColor="text1"/>
                <w:kern w:val="0"/>
                <w:sz w:val="21"/>
                <w:szCs w:val="21"/>
                <w14:textFill>
                  <w14:solidFill>
                    <w14:schemeClr w14:val="tx1"/>
                  </w14:solidFill>
                </w14:textFill>
              </w:rPr>
            </w:pPr>
          </w:p>
        </w:tc>
      </w:tr>
    </w:tbl>
    <w:p w14:paraId="2A977375">
      <w:pPr>
        <w:pStyle w:val="269"/>
        <w:ind w:firstLine="560"/>
      </w:pPr>
      <w:r>
        <w:t>（2）重点项目规划</w:t>
      </w:r>
    </w:p>
    <w:p w14:paraId="464743EB">
      <w:pPr>
        <w:pStyle w:val="269"/>
        <w:ind w:firstLine="560"/>
      </w:pPr>
      <w:r>
        <w:t>工程机械装备制造产业重点项目规划见表6.1-2。</w:t>
      </w:r>
    </w:p>
    <w:p w14:paraId="74DE435B">
      <w:pPr>
        <w:pStyle w:val="264"/>
      </w:pPr>
      <w:r>
        <w:t>表6.1-2 工程机械装备制造产业重点项目</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429"/>
        <w:gridCol w:w="4441"/>
        <w:gridCol w:w="2193"/>
      </w:tblGrid>
      <w:tr w14:paraId="6B3F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14:paraId="06991B4E">
            <w:pPr>
              <w:pStyle w:val="269"/>
              <w:spacing w:line="240" w:lineRule="auto"/>
              <w:ind w:firstLine="0" w:firstLineChars="0"/>
              <w:jc w:val="center"/>
              <w:rPr>
                <w:sz w:val="21"/>
                <w:szCs w:val="21"/>
              </w:rPr>
            </w:pPr>
            <w:r>
              <w:rPr>
                <w:sz w:val="21"/>
                <w:szCs w:val="21"/>
              </w:rPr>
              <w:t>序号</w:t>
            </w:r>
          </w:p>
        </w:tc>
        <w:tc>
          <w:tcPr>
            <w:tcW w:w="0" w:type="auto"/>
            <w:vAlign w:val="center"/>
          </w:tcPr>
          <w:p w14:paraId="7866F1AA">
            <w:pPr>
              <w:pStyle w:val="269"/>
              <w:spacing w:line="240" w:lineRule="auto"/>
              <w:ind w:firstLine="0" w:firstLineChars="0"/>
              <w:jc w:val="center"/>
              <w:rPr>
                <w:sz w:val="21"/>
                <w:szCs w:val="21"/>
              </w:rPr>
            </w:pPr>
            <w:r>
              <w:rPr>
                <w:sz w:val="21"/>
                <w:szCs w:val="21"/>
              </w:rPr>
              <w:t>项目</w:t>
            </w:r>
          </w:p>
        </w:tc>
        <w:tc>
          <w:tcPr>
            <w:tcW w:w="0" w:type="auto"/>
            <w:vAlign w:val="center"/>
          </w:tcPr>
          <w:p w14:paraId="5D9C63C0">
            <w:pPr>
              <w:pStyle w:val="269"/>
              <w:spacing w:line="240" w:lineRule="auto"/>
              <w:ind w:firstLine="0" w:firstLineChars="0"/>
              <w:jc w:val="center"/>
              <w:rPr>
                <w:sz w:val="21"/>
                <w:szCs w:val="21"/>
              </w:rPr>
            </w:pPr>
            <w:r>
              <w:rPr>
                <w:sz w:val="21"/>
                <w:szCs w:val="21"/>
              </w:rPr>
              <w:t>建设内容</w:t>
            </w:r>
          </w:p>
        </w:tc>
        <w:tc>
          <w:tcPr>
            <w:tcW w:w="0" w:type="auto"/>
            <w:vAlign w:val="center"/>
          </w:tcPr>
          <w:p w14:paraId="3ECEE9A1">
            <w:pPr>
              <w:pStyle w:val="269"/>
              <w:spacing w:line="240" w:lineRule="auto"/>
              <w:ind w:firstLine="0" w:firstLineChars="0"/>
              <w:jc w:val="center"/>
              <w:rPr>
                <w:sz w:val="21"/>
                <w:szCs w:val="21"/>
              </w:rPr>
            </w:pPr>
            <w:r>
              <w:rPr>
                <w:sz w:val="21"/>
                <w:szCs w:val="21"/>
              </w:rPr>
              <w:t>经济效益</w:t>
            </w:r>
          </w:p>
        </w:tc>
      </w:tr>
      <w:tr w14:paraId="2BF7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E7886AE">
            <w:pPr>
              <w:pStyle w:val="269"/>
              <w:spacing w:line="240" w:lineRule="auto"/>
              <w:ind w:firstLine="0" w:firstLineChars="0"/>
              <w:jc w:val="center"/>
              <w:rPr>
                <w:sz w:val="21"/>
                <w:szCs w:val="21"/>
              </w:rPr>
            </w:pPr>
            <w:r>
              <w:rPr>
                <w:sz w:val="21"/>
                <w:szCs w:val="21"/>
              </w:rPr>
              <w:t>1</w:t>
            </w:r>
          </w:p>
        </w:tc>
        <w:tc>
          <w:tcPr>
            <w:tcW w:w="0" w:type="auto"/>
            <w:vAlign w:val="center"/>
          </w:tcPr>
          <w:p w14:paraId="2313EA1E">
            <w:pPr>
              <w:pStyle w:val="269"/>
              <w:spacing w:line="240" w:lineRule="auto"/>
              <w:ind w:firstLine="0" w:firstLineChars="0"/>
              <w:jc w:val="center"/>
              <w:rPr>
                <w:sz w:val="21"/>
                <w:szCs w:val="21"/>
              </w:rPr>
            </w:pPr>
            <w:r>
              <w:rPr>
                <w:sz w:val="21"/>
                <w:szCs w:val="21"/>
              </w:rPr>
              <w:t>三一集团矿用机械制造全产业链项目</w:t>
            </w:r>
          </w:p>
        </w:tc>
        <w:tc>
          <w:tcPr>
            <w:tcW w:w="0" w:type="auto"/>
            <w:vAlign w:val="center"/>
          </w:tcPr>
          <w:p w14:paraId="7D29BE97">
            <w:pPr>
              <w:pStyle w:val="269"/>
              <w:spacing w:line="240" w:lineRule="auto"/>
              <w:ind w:firstLine="0" w:firstLineChars="0"/>
              <w:jc w:val="center"/>
              <w:rPr>
                <w:sz w:val="21"/>
                <w:szCs w:val="21"/>
              </w:rPr>
            </w:pPr>
            <w:r>
              <w:rPr>
                <w:sz w:val="21"/>
                <w:szCs w:val="21"/>
              </w:rPr>
              <w:t>涵盖仓储中心、下料中心、机加中心、焊接、涂装、装配中心等智能化全产业链生产线</w:t>
            </w:r>
          </w:p>
        </w:tc>
        <w:tc>
          <w:tcPr>
            <w:tcW w:w="0" w:type="auto"/>
            <w:vAlign w:val="center"/>
          </w:tcPr>
          <w:p w14:paraId="474E0842">
            <w:pPr>
              <w:pStyle w:val="269"/>
              <w:spacing w:line="240" w:lineRule="auto"/>
              <w:ind w:firstLine="0" w:firstLineChars="0"/>
              <w:jc w:val="center"/>
              <w:rPr>
                <w:sz w:val="21"/>
                <w:szCs w:val="21"/>
              </w:rPr>
            </w:pPr>
            <w:r>
              <w:rPr>
                <w:sz w:val="21"/>
                <w:szCs w:val="21"/>
              </w:rPr>
              <w:t>/</w:t>
            </w:r>
          </w:p>
        </w:tc>
      </w:tr>
      <w:tr w14:paraId="57EC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50286FB">
            <w:pPr>
              <w:pStyle w:val="269"/>
              <w:spacing w:line="240" w:lineRule="auto"/>
              <w:ind w:firstLine="0" w:firstLineChars="0"/>
              <w:jc w:val="center"/>
              <w:rPr>
                <w:sz w:val="21"/>
                <w:szCs w:val="21"/>
              </w:rPr>
            </w:pPr>
            <w:r>
              <w:rPr>
                <w:sz w:val="21"/>
                <w:szCs w:val="21"/>
              </w:rPr>
              <w:t>2</w:t>
            </w:r>
          </w:p>
        </w:tc>
        <w:tc>
          <w:tcPr>
            <w:tcW w:w="0" w:type="auto"/>
            <w:vAlign w:val="center"/>
          </w:tcPr>
          <w:p w14:paraId="72885579">
            <w:pPr>
              <w:pStyle w:val="269"/>
              <w:spacing w:line="240" w:lineRule="auto"/>
              <w:ind w:firstLine="0" w:firstLineChars="0"/>
              <w:jc w:val="center"/>
              <w:rPr>
                <w:sz w:val="21"/>
                <w:szCs w:val="21"/>
              </w:rPr>
            </w:pPr>
            <w:r>
              <w:rPr>
                <w:sz w:val="21"/>
                <w:szCs w:val="21"/>
              </w:rPr>
              <w:t>内蒙古三一众力工程机械整机与零部件再制造中心项目</w:t>
            </w:r>
          </w:p>
        </w:tc>
        <w:tc>
          <w:tcPr>
            <w:tcW w:w="0" w:type="auto"/>
            <w:vAlign w:val="center"/>
          </w:tcPr>
          <w:p w14:paraId="4E8CEC08">
            <w:pPr>
              <w:pStyle w:val="269"/>
              <w:spacing w:line="240" w:lineRule="auto"/>
              <w:ind w:firstLine="0" w:firstLineChars="0"/>
              <w:jc w:val="center"/>
              <w:rPr>
                <w:sz w:val="21"/>
                <w:szCs w:val="21"/>
              </w:rPr>
            </w:pPr>
            <w:r>
              <w:rPr>
                <w:sz w:val="21"/>
                <w:szCs w:val="21"/>
              </w:rPr>
              <w:t>总投资3亿元，占地约100亩，主要开展工程机械整机、工程机械零部件再制造及工程机械润滑油、防冻液、传动液销售及工程机械设备租赁维修、售后服务等，主要建设工程机械整机与零部件再制造工业厂房、办公楼、员工宿舍楼、配件仓库等配套设施</w:t>
            </w:r>
          </w:p>
        </w:tc>
        <w:tc>
          <w:tcPr>
            <w:tcW w:w="0" w:type="auto"/>
            <w:vAlign w:val="center"/>
          </w:tcPr>
          <w:p w14:paraId="45403C10">
            <w:pPr>
              <w:pStyle w:val="269"/>
              <w:spacing w:line="240" w:lineRule="auto"/>
              <w:ind w:firstLine="0" w:firstLineChars="0"/>
              <w:jc w:val="center"/>
              <w:rPr>
                <w:sz w:val="21"/>
                <w:szCs w:val="21"/>
              </w:rPr>
            </w:pPr>
            <w:r>
              <w:rPr>
                <w:sz w:val="21"/>
                <w:szCs w:val="21"/>
              </w:rPr>
              <w:t>项目全部建成后，全产业链预计年销售收入20亿元以上，实现年税收3000万元以上，就业安置300人左右</w:t>
            </w:r>
          </w:p>
        </w:tc>
      </w:tr>
      <w:tr w14:paraId="58E2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5D8F57A">
            <w:pPr>
              <w:pStyle w:val="269"/>
              <w:spacing w:line="240" w:lineRule="auto"/>
              <w:ind w:firstLine="0" w:firstLineChars="0"/>
              <w:jc w:val="center"/>
              <w:rPr>
                <w:sz w:val="21"/>
                <w:szCs w:val="21"/>
              </w:rPr>
            </w:pPr>
            <w:r>
              <w:rPr>
                <w:sz w:val="21"/>
                <w:szCs w:val="21"/>
              </w:rPr>
              <w:t>3</w:t>
            </w:r>
          </w:p>
        </w:tc>
        <w:tc>
          <w:tcPr>
            <w:tcW w:w="0" w:type="auto"/>
            <w:vAlign w:val="center"/>
          </w:tcPr>
          <w:p w14:paraId="4383F306">
            <w:pPr>
              <w:pStyle w:val="269"/>
              <w:spacing w:line="240" w:lineRule="auto"/>
              <w:ind w:firstLine="0" w:firstLineChars="0"/>
              <w:jc w:val="center"/>
              <w:rPr>
                <w:sz w:val="21"/>
                <w:szCs w:val="21"/>
              </w:rPr>
            </w:pPr>
            <w:r>
              <w:rPr>
                <w:sz w:val="21"/>
                <w:szCs w:val="21"/>
              </w:rPr>
              <w:t>内蒙古华钺控股有限公司非公路宽体矿用车和工程机械制造系列项目</w:t>
            </w:r>
          </w:p>
        </w:tc>
        <w:tc>
          <w:tcPr>
            <w:tcW w:w="0" w:type="auto"/>
            <w:vAlign w:val="center"/>
          </w:tcPr>
          <w:p w14:paraId="269DB4A5">
            <w:pPr>
              <w:pStyle w:val="269"/>
              <w:spacing w:line="240" w:lineRule="auto"/>
              <w:ind w:firstLine="0" w:firstLineChars="0"/>
              <w:jc w:val="center"/>
              <w:rPr>
                <w:sz w:val="21"/>
                <w:szCs w:val="21"/>
              </w:rPr>
            </w:pPr>
            <w:r>
              <w:rPr>
                <w:sz w:val="21"/>
                <w:szCs w:val="21"/>
              </w:rPr>
              <w:t>项目占地面积177亩，总投资4.2亿元，项目引进徐工集团及高校的产品和技术，围绕矿山机械装配制造为主要方向，打造“光储充换”一体化零碳示范项目。</w:t>
            </w:r>
          </w:p>
        </w:tc>
        <w:tc>
          <w:tcPr>
            <w:tcW w:w="0" w:type="auto"/>
            <w:vAlign w:val="center"/>
          </w:tcPr>
          <w:p w14:paraId="64761509">
            <w:pPr>
              <w:pStyle w:val="269"/>
              <w:spacing w:line="240" w:lineRule="auto"/>
              <w:ind w:firstLine="0" w:firstLineChars="0"/>
              <w:jc w:val="center"/>
              <w:rPr>
                <w:sz w:val="21"/>
                <w:szCs w:val="21"/>
              </w:rPr>
            </w:pPr>
            <w:r>
              <w:rPr>
                <w:sz w:val="21"/>
                <w:szCs w:val="21"/>
              </w:rPr>
              <w:t>项目建成后，预计年产值达9亿元，年税收达2300万元，新增就业2000余人。</w:t>
            </w:r>
          </w:p>
        </w:tc>
      </w:tr>
    </w:tbl>
    <w:p w14:paraId="7B34AD32">
      <w:pPr>
        <w:pStyle w:val="97"/>
        <w:numPr>
          <w:ilvl w:val="2"/>
          <w:numId w:val="4"/>
        </w:numPr>
        <w:adjustRightInd w:val="0"/>
        <w:snapToGrid w:val="0"/>
        <w:spacing w:before="240" w:beforeLines="10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525" w:name="_Toc134812721"/>
      <w:bookmarkStart w:id="526" w:name="_Toc132821417"/>
      <w:bookmarkStart w:id="527" w:name="_Toc134813220"/>
      <w:bookmarkStart w:id="528" w:name="_Toc134813083"/>
      <w:bookmarkStart w:id="529" w:name="_Toc134813357"/>
      <w:bookmarkStart w:id="530" w:name="_Toc192675920"/>
      <w:r>
        <w:rPr>
          <w:rFonts w:ascii="Times New Roman" w:hAnsi="Times New Roman" w:eastAsia="黑体"/>
          <w:b/>
          <w:color w:val="000000" w:themeColor="text1"/>
          <w:sz w:val="30"/>
          <w:szCs w:val="30"/>
          <w14:textFill>
            <w14:solidFill>
              <w14:schemeClr w14:val="tx1"/>
            </w14:solidFill>
          </w14:textFill>
        </w:rPr>
        <w:t>应急装备制造</w:t>
      </w:r>
      <w:bookmarkEnd w:id="525"/>
      <w:bookmarkEnd w:id="526"/>
      <w:bookmarkEnd w:id="527"/>
      <w:bookmarkEnd w:id="528"/>
      <w:bookmarkEnd w:id="529"/>
      <w:bookmarkEnd w:id="530"/>
    </w:p>
    <w:p w14:paraId="12DF70DE">
      <w:pPr>
        <w:pStyle w:val="97"/>
        <w:numPr>
          <w:ilvl w:val="1"/>
          <w:numId w:val="5"/>
        </w:numPr>
        <w:adjustRightInd w:val="0"/>
        <w:snapToGrid w:val="0"/>
        <w:ind w:firstLineChars="0"/>
        <w:jc w:val="left"/>
        <w:outlineLvl w:val="2"/>
        <w:rPr>
          <w:rFonts w:ascii="Times New Roman" w:hAnsi="Times New Roman"/>
          <w:b/>
          <w:vanish/>
          <w:szCs w:val="28"/>
        </w:rPr>
      </w:pPr>
      <w:bookmarkStart w:id="531" w:name="_Toc145341237"/>
      <w:bookmarkEnd w:id="531"/>
      <w:bookmarkStart w:id="532" w:name="_Toc144211328"/>
      <w:bookmarkEnd w:id="532"/>
      <w:bookmarkStart w:id="533" w:name="_Toc145344481"/>
      <w:bookmarkEnd w:id="533"/>
      <w:bookmarkStart w:id="534" w:name="_Toc159406755"/>
      <w:bookmarkEnd w:id="534"/>
      <w:bookmarkStart w:id="535" w:name="_Toc161133127"/>
      <w:bookmarkEnd w:id="535"/>
      <w:bookmarkStart w:id="536" w:name="_Toc148367093"/>
      <w:bookmarkEnd w:id="536"/>
      <w:bookmarkStart w:id="537" w:name="_Toc150947971"/>
      <w:bookmarkEnd w:id="537"/>
      <w:bookmarkStart w:id="538" w:name="_Toc134813221"/>
      <w:bookmarkEnd w:id="538"/>
      <w:bookmarkStart w:id="539" w:name="_Toc134813084"/>
      <w:bookmarkEnd w:id="539"/>
      <w:bookmarkStart w:id="540" w:name="_Toc133136332"/>
      <w:bookmarkEnd w:id="540"/>
      <w:bookmarkStart w:id="541" w:name="_Toc134812722"/>
      <w:bookmarkEnd w:id="541"/>
      <w:bookmarkStart w:id="542" w:name="_Toc156553047"/>
      <w:bookmarkEnd w:id="542"/>
      <w:bookmarkStart w:id="543" w:name="_Toc134812864"/>
      <w:bookmarkEnd w:id="543"/>
      <w:bookmarkStart w:id="544" w:name="_Toc131949538"/>
      <w:bookmarkEnd w:id="544"/>
      <w:bookmarkStart w:id="545" w:name="_Toc190952849"/>
      <w:bookmarkEnd w:id="545"/>
      <w:bookmarkStart w:id="546" w:name="_Toc161132287"/>
      <w:bookmarkEnd w:id="546"/>
      <w:bookmarkStart w:id="547" w:name="_Toc132821418"/>
      <w:bookmarkEnd w:id="547"/>
      <w:bookmarkStart w:id="548" w:name="_Toc134813358"/>
      <w:bookmarkEnd w:id="548"/>
      <w:bookmarkStart w:id="549" w:name="_Toc134813792"/>
      <w:bookmarkEnd w:id="549"/>
      <w:bookmarkStart w:id="550" w:name="_Toc190952298"/>
      <w:bookmarkEnd w:id="550"/>
      <w:bookmarkStart w:id="551" w:name="_Toc186205278"/>
      <w:bookmarkEnd w:id="551"/>
      <w:bookmarkStart w:id="552" w:name="_Toc192675921"/>
      <w:bookmarkEnd w:id="552"/>
      <w:bookmarkStart w:id="553" w:name="_Toc162446327"/>
      <w:bookmarkEnd w:id="553"/>
      <w:bookmarkStart w:id="554" w:name="_Toc156553677"/>
      <w:bookmarkEnd w:id="554"/>
      <w:bookmarkStart w:id="555" w:name="_Toc182320692"/>
      <w:bookmarkEnd w:id="555"/>
    </w:p>
    <w:p w14:paraId="518284CB">
      <w:pPr>
        <w:pStyle w:val="269"/>
        <w:ind w:firstLine="560"/>
      </w:pPr>
      <w:r>
        <w:t>1、发展趋势</w:t>
      </w:r>
    </w:p>
    <w:p w14:paraId="62F18F12">
      <w:pPr>
        <w:pStyle w:val="269"/>
        <w:ind w:firstLine="560"/>
      </w:pPr>
      <w:r>
        <w:t>随着世界各地灾害事故频发，应急救援成为越来越重要的领域。应急装备制造产业作为支撑行业，其发展现状及趋势备受关注。我国应急产业可以分为四大阶段，分别是2003年之前的分部门、单灾种的应急管理模式、2003-2007年初步形成应急管理体系、2008-2012年深化建设应急管理体系以及2013年之后的提升综合应急管理能力。“十四五”期间我国将会持续提高综合应急管理能力。</w:t>
      </w:r>
    </w:p>
    <w:p w14:paraId="303A41DE">
      <w:pPr>
        <w:pStyle w:val="269"/>
        <w:ind w:firstLine="560"/>
      </w:pPr>
      <w:r>
        <w:t>（1）发展现状：</w:t>
      </w:r>
    </w:p>
    <w:p w14:paraId="5F05BA5D">
      <w:pPr>
        <w:pStyle w:val="269"/>
        <w:ind w:firstLine="560"/>
      </w:pPr>
      <w:r>
        <w:t>目前，全球安全应急救援装备制造产业已经形成了趋于成熟的体系，并且继续发展。一些国家或地区，如美国、日本、德国，拥有发达的安全应急救援装备制造产业，并且已形成完善的市场网络和专业团队。</w:t>
      </w:r>
    </w:p>
    <w:p w14:paraId="403355B1">
      <w:pPr>
        <w:pStyle w:val="269"/>
        <w:ind w:firstLine="560"/>
      </w:pPr>
      <w:r>
        <w:t>在中国，近年来由于经济和社会的快速发展，安全应急救援装备制造产业也得到了进一步的发展。国内一些企业积极推进技术创新，开发出了一批具有自主知识产权的先进应急救援装备。</w:t>
      </w:r>
    </w:p>
    <w:p w14:paraId="56BFE50C">
      <w:pPr>
        <w:pStyle w:val="269"/>
        <w:ind w:firstLine="560"/>
      </w:pPr>
      <w:r>
        <w:t>（2）发展趋势：</w:t>
      </w:r>
    </w:p>
    <w:p w14:paraId="5DD9E650">
      <w:pPr>
        <w:pStyle w:val="269"/>
        <w:ind w:firstLine="560"/>
      </w:pPr>
      <w:r>
        <w:t>1）智能化、信息化趋势智能化、信息化不断发展，改变了人们的生活方式，也对安全应急救援装备制造产业产生了影响。未来，安全应急救援装备制造产业将朝着智能化、网络化、自动化等方向发展，使得装备具备更强的敏捷性、适应性和智能化操作性。</w:t>
      </w:r>
    </w:p>
    <w:p w14:paraId="25DD9C18">
      <w:pPr>
        <w:pStyle w:val="269"/>
        <w:ind w:firstLine="560"/>
      </w:pPr>
      <w:r>
        <w:t>2）多元化需求趋势</w:t>
      </w:r>
    </w:p>
    <w:p w14:paraId="06C828C9">
      <w:pPr>
        <w:pStyle w:val="269"/>
        <w:ind w:firstLine="560"/>
      </w:pPr>
      <w:r>
        <w:t>随着灾害和事故类型的多元化，安全应急救援装备制造产业将朝着多元化的方向发展。除了传统的救援装备外，还将涉及到更多的应急装备、安全设备、防护装备等。</w:t>
      </w:r>
    </w:p>
    <w:p w14:paraId="3EF50659">
      <w:pPr>
        <w:pStyle w:val="269"/>
        <w:ind w:firstLine="560"/>
      </w:pPr>
      <w:r>
        <w:t>3）跨行业融合趋势</w:t>
      </w:r>
    </w:p>
    <w:p w14:paraId="29A7C1AE">
      <w:pPr>
        <w:pStyle w:val="269"/>
        <w:ind w:firstLine="560"/>
      </w:pPr>
      <w:r>
        <w:t>安全应急救援装备制造产业将与信息技术、通讯技术、智能化装备等跨行业进行深度融合，形成对应急救援的系统解决方案，为国内外应急救援工作提供更加优质的服务。</w:t>
      </w:r>
    </w:p>
    <w:p w14:paraId="6247B938">
      <w:pPr>
        <w:pStyle w:val="269"/>
        <w:ind w:firstLine="560"/>
      </w:pPr>
      <w:r>
        <w:t>目前园区内已具备一定的安全防护类装备制造基础，具备年产50辆消防救援坦克的能力。</w:t>
      </w:r>
    </w:p>
    <w:p w14:paraId="322AEEDE">
      <w:pPr>
        <w:pStyle w:val="269"/>
        <w:ind w:firstLine="560"/>
      </w:pPr>
      <w:r>
        <w:t>2、产业发展条件和基础</w:t>
      </w:r>
    </w:p>
    <w:p w14:paraId="1DF9F2BD">
      <w:pPr>
        <w:pStyle w:val="269"/>
        <w:ind w:firstLine="560"/>
      </w:pPr>
      <w:r>
        <w:t>目前，现有应急产业已经形成以一机集团、北重集团、北奔集团为引领，塞北机械、北方嘉瑞等企业为骨干，孚韦装备、苍松消防等企业为支撑的格局，基本涵盖安全防护、监测预警、应急救援处置和应急服务四大类。已具备一定的安全防护装备制造基础。</w:t>
      </w:r>
    </w:p>
    <w:p w14:paraId="4327CC72">
      <w:pPr>
        <w:pStyle w:val="269"/>
        <w:ind w:firstLine="560"/>
      </w:pPr>
      <w:r>
        <w:t>3、发展思路</w:t>
      </w:r>
    </w:p>
    <w:p w14:paraId="7D586AE5">
      <w:pPr>
        <w:pStyle w:val="269"/>
        <w:ind w:firstLine="560"/>
      </w:pPr>
      <w:r>
        <w:t>国务院日前印发《“十四五”国家应急体系规划》（以下简称《规划》），对“十四五”时期安全生产、防灾减灾救灾等工作进行全面部署。作为向自然灾害、事故灾难、公共卫生事件、社会安全事件等各类突发事件提供安全防范与应急准备、监测与预警、处置与救援等专用产品和服务的安全应急产业，在《规划》中给出的关键词是“壮大”。经过10余年的发展，中国的安全产业和应急产业由分到合，从2011年《安全生产“十二五”规划》在“完善安全科技支撑体系，提高技术装备的安全保障能力”中提到“促进安全产业发展”到现在《规划》中“壮大安全应急产业”，与国家经济社会发展的进步和安全应急产业的发展密不可分。从2020年抗击新冠疫情的应急保障，及2020年~2024年应对各类自然灾害和安全生产事故的经验，安全应急产业对于提供先进技术和装备，满足应急物资保障需要具有不可替代的作用。</w:t>
      </w:r>
    </w:p>
    <w:p w14:paraId="34D339F6">
      <w:pPr>
        <w:pStyle w:val="269"/>
        <w:ind w:firstLine="560"/>
      </w:pPr>
      <w:r>
        <w:t>1）加强技术创新和研发能力，提高装备质量和性能。</w:t>
      </w:r>
    </w:p>
    <w:p w14:paraId="1D49C9FA">
      <w:pPr>
        <w:pStyle w:val="269"/>
        <w:ind w:firstLine="560"/>
      </w:pPr>
      <w:r>
        <w:t>2）增强市场竞争力，提高装备国际市场占有率。</w:t>
      </w:r>
    </w:p>
    <w:p w14:paraId="013BEB14">
      <w:pPr>
        <w:pStyle w:val="269"/>
        <w:ind w:firstLine="560"/>
      </w:pPr>
      <w:r>
        <w:t>3）优化产业结构，培育以安全应急救援装备为主要产品的产业集群。</w:t>
      </w:r>
    </w:p>
    <w:p w14:paraId="5FC1DFB9">
      <w:pPr>
        <w:pStyle w:val="269"/>
        <w:ind w:firstLine="560"/>
      </w:pPr>
      <w:r>
        <w:t>4）加强政府支持力度，鼓励企业增加研发投入和产品升级。</w:t>
      </w:r>
    </w:p>
    <w:p w14:paraId="75158E03">
      <w:pPr>
        <w:pStyle w:val="269"/>
        <w:ind w:firstLine="560"/>
      </w:pPr>
      <w:r>
        <w:t>5）加强合作交流，实现产业链、供应链和价值链的优化协同。</w:t>
      </w:r>
    </w:p>
    <w:p w14:paraId="76E97A18">
      <w:pPr>
        <w:pStyle w:val="269"/>
        <w:ind w:firstLine="560"/>
      </w:pPr>
      <w:r>
        <w:t>4、发展重点</w:t>
      </w:r>
    </w:p>
    <w:p w14:paraId="4EE19A08">
      <w:pPr>
        <w:pStyle w:val="269"/>
        <w:ind w:firstLine="560"/>
      </w:pPr>
      <w:r>
        <w:t>（1）安全防护类</w:t>
      </w:r>
    </w:p>
    <w:p w14:paraId="3F29481B">
      <w:pPr>
        <w:pStyle w:val="269"/>
        <w:ind w:firstLine="560"/>
      </w:pPr>
      <w:r>
        <w:t>目前园区内已具备一定的安全防护装备制造基础，立足现有制造基础，大力支持一机集团在现有避火服、隔热服生产能力的基础上，继续研发生产隔热阻燃、防毒防尘、防砸放刺穿、社会安全医疗保障产品（如医用口罩、N95口罩等）等多功能个体防护系列产品。</w:t>
      </w:r>
    </w:p>
    <w:p w14:paraId="3D319B46">
      <w:pPr>
        <w:pStyle w:val="269"/>
        <w:ind w:firstLine="560"/>
      </w:pPr>
      <w:r>
        <w:t>（2）应急救援处置类</w:t>
      </w:r>
    </w:p>
    <w:p w14:paraId="3B0265C2">
      <w:pPr>
        <w:pStyle w:val="269"/>
        <w:ind w:firstLine="560"/>
      </w:pPr>
      <w:r>
        <w:t>充分发挥园区内一机集团、北重集团等军工企业及其衍生企业，在特种车辆（轮式、履带式）、应急专用车等方面研发制造优势，大力发展抗震救灾、草原防火、森林消防、应急工程抢险、高机动应急救援、医疗应急装备、矿山救援、社会安全医疗保障产品等领域应急装备技术研发、制造及服务全产业链，将园区建设成应急产业装备制造示范基地。</w:t>
      </w:r>
    </w:p>
    <w:p w14:paraId="2C5AE36D">
      <w:pPr>
        <w:pStyle w:val="269"/>
        <w:ind w:firstLine="0" w:firstLineChars="0"/>
        <w:jc w:val="center"/>
      </w:pPr>
      <w:r>
        <w:object>
          <v:shape id="_x0000_i1026" o:spt="75" type="#_x0000_t75" style="height:314.5pt;width:268.3pt;" o:ole="t" filled="f" o:preferrelative="t" stroked="f" coordsize="21600,21600">
            <v:path/>
            <v:fill on="f" focussize="0,0"/>
            <v:stroke on="f" joinstyle="miter"/>
            <v:imagedata r:id="rId26" o:title=""/>
            <o:lock v:ext="edit" aspectratio="t"/>
            <w10:wrap type="none"/>
            <w10:anchorlock/>
          </v:shape>
          <o:OLEObject Type="Embed" ProgID="Visio.Drawing.11" ShapeID="_x0000_i1026" DrawAspect="Content" ObjectID="_1468075726" r:id="rId25">
            <o:LockedField>false</o:LockedField>
          </o:OLEObject>
        </w:object>
      </w:r>
    </w:p>
    <w:p w14:paraId="17625D3E">
      <w:pPr>
        <w:pStyle w:val="269"/>
        <w:ind w:firstLine="0" w:firstLineChars="0"/>
        <w:jc w:val="center"/>
      </w:pPr>
      <w:r>
        <w:rPr>
          <w:rFonts w:hint="eastAsia"/>
        </w:rPr>
        <w:t>图6.1-2</w:t>
      </w:r>
      <w:r>
        <w:t xml:space="preserve"> </w:t>
      </w:r>
      <w:r>
        <w:rPr>
          <w:rFonts w:hint="eastAsia"/>
        </w:rPr>
        <w:t>应急装备制造产业链规划图</w:t>
      </w:r>
    </w:p>
    <w:p w14:paraId="5564B8CD">
      <w:pPr>
        <w:pStyle w:val="269"/>
        <w:ind w:firstLine="560"/>
      </w:pPr>
      <w:r>
        <w:t>5、产业重点方向规划</w:t>
      </w:r>
    </w:p>
    <w:p w14:paraId="1CB2996F">
      <w:pPr>
        <w:pStyle w:val="269"/>
        <w:ind w:firstLine="560"/>
      </w:pPr>
      <w:r>
        <w:t>安全应急装备制造产业重点方向规划见表6.1-3。</w:t>
      </w:r>
    </w:p>
    <w:p w14:paraId="59D6EF2A">
      <w:pPr>
        <w:pStyle w:val="264"/>
      </w:pPr>
      <w:r>
        <w:t>表6.1-3 安全应急装备制造产业重点方向</w:t>
      </w:r>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
        <w:gridCol w:w="944"/>
        <w:gridCol w:w="4690"/>
        <w:gridCol w:w="1372"/>
        <w:gridCol w:w="1005"/>
      </w:tblGrid>
      <w:tr w14:paraId="47B2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shd w:val="clear" w:color="auto" w:fill="auto"/>
            <w:vAlign w:val="center"/>
          </w:tcPr>
          <w:p w14:paraId="25EC530C">
            <w:pPr>
              <w:adjustRightInd w:val="0"/>
              <w:snapToGrid w:val="0"/>
              <w:spacing w:line="240" w:lineRule="auto"/>
              <w:ind w:firstLine="0" w:firstLineChars="0"/>
              <w:jc w:val="center"/>
              <w:rPr>
                <w:sz w:val="21"/>
                <w:szCs w:val="21"/>
              </w:rPr>
            </w:pPr>
            <w:r>
              <w:rPr>
                <w:sz w:val="21"/>
                <w:szCs w:val="21"/>
              </w:rPr>
              <w:t>序号</w:t>
            </w:r>
          </w:p>
        </w:tc>
        <w:tc>
          <w:tcPr>
            <w:tcW w:w="0" w:type="auto"/>
            <w:shd w:val="clear" w:color="auto" w:fill="auto"/>
            <w:vAlign w:val="center"/>
          </w:tcPr>
          <w:p w14:paraId="73DB148E">
            <w:pPr>
              <w:adjustRightInd w:val="0"/>
              <w:snapToGrid w:val="0"/>
              <w:spacing w:line="240" w:lineRule="auto"/>
              <w:ind w:firstLine="0" w:firstLineChars="0"/>
              <w:jc w:val="center"/>
              <w:rPr>
                <w:sz w:val="21"/>
                <w:szCs w:val="21"/>
              </w:rPr>
            </w:pPr>
            <w:r>
              <w:rPr>
                <w:sz w:val="21"/>
                <w:szCs w:val="21"/>
              </w:rPr>
              <w:t>制造项目</w:t>
            </w:r>
          </w:p>
        </w:tc>
        <w:tc>
          <w:tcPr>
            <w:tcW w:w="0" w:type="auto"/>
            <w:shd w:val="clear" w:color="auto" w:fill="auto"/>
            <w:vAlign w:val="center"/>
          </w:tcPr>
          <w:p w14:paraId="3A3771E1">
            <w:pPr>
              <w:adjustRightInd w:val="0"/>
              <w:snapToGrid w:val="0"/>
              <w:spacing w:line="240" w:lineRule="auto"/>
              <w:ind w:firstLine="0" w:firstLineChars="0"/>
              <w:jc w:val="center"/>
              <w:rPr>
                <w:sz w:val="21"/>
                <w:szCs w:val="21"/>
              </w:rPr>
            </w:pPr>
            <w:r>
              <w:rPr>
                <w:sz w:val="21"/>
                <w:szCs w:val="21"/>
              </w:rPr>
              <w:t>重点方向</w:t>
            </w:r>
          </w:p>
        </w:tc>
        <w:tc>
          <w:tcPr>
            <w:tcW w:w="0" w:type="auto"/>
            <w:shd w:val="clear" w:color="auto" w:fill="auto"/>
            <w:vAlign w:val="center"/>
          </w:tcPr>
          <w:p w14:paraId="76230CAA">
            <w:pPr>
              <w:adjustRightInd w:val="0"/>
              <w:snapToGrid w:val="0"/>
              <w:spacing w:line="240" w:lineRule="auto"/>
              <w:ind w:firstLine="0" w:firstLineChars="0"/>
              <w:jc w:val="center"/>
              <w:rPr>
                <w:sz w:val="21"/>
                <w:szCs w:val="21"/>
              </w:rPr>
            </w:pPr>
            <w:r>
              <w:rPr>
                <w:color w:val="000000" w:themeColor="text1"/>
                <w:kern w:val="0"/>
                <w:sz w:val="21"/>
                <w:szCs w:val="21"/>
                <w14:textFill>
                  <w14:solidFill>
                    <w14:schemeClr w14:val="tx1"/>
                  </w14:solidFill>
                </w14:textFill>
              </w:rPr>
              <w:t>2030年末</w:t>
            </w:r>
            <w:r>
              <w:rPr>
                <w:sz w:val="21"/>
                <w:szCs w:val="21"/>
              </w:rPr>
              <w:t>新增规模/产值</w:t>
            </w:r>
          </w:p>
        </w:tc>
        <w:tc>
          <w:tcPr>
            <w:tcW w:w="0" w:type="auto"/>
            <w:vAlign w:val="center"/>
          </w:tcPr>
          <w:p w14:paraId="7D700C8E">
            <w:pPr>
              <w:adjustRightInd w:val="0"/>
              <w:snapToGrid w:val="0"/>
              <w:spacing w:line="240" w:lineRule="auto"/>
              <w:ind w:firstLine="0" w:firstLineChars="0"/>
              <w:jc w:val="center"/>
              <w:rPr>
                <w:sz w:val="21"/>
                <w:szCs w:val="21"/>
              </w:rPr>
            </w:pPr>
            <w:r>
              <w:rPr>
                <w:color w:val="000000" w:themeColor="text1"/>
                <w:kern w:val="0"/>
                <w:sz w:val="21"/>
                <w:szCs w:val="21"/>
                <w14:textFill>
                  <w14:solidFill>
                    <w14:schemeClr w14:val="tx1"/>
                  </w14:solidFill>
                </w14:textFill>
              </w:rPr>
              <w:t>2035年末</w:t>
            </w:r>
          </w:p>
          <w:p w14:paraId="173D76C1">
            <w:pPr>
              <w:adjustRightInd w:val="0"/>
              <w:snapToGrid w:val="0"/>
              <w:spacing w:line="240" w:lineRule="auto"/>
              <w:ind w:firstLine="0" w:firstLineChars="0"/>
              <w:jc w:val="center"/>
              <w:rPr>
                <w:sz w:val="21"/>
                <w:szCs w:val="21"/>
              </w:rPr>
            </w:pPr>
            <w:r>
              <w:rPr>
                <w:sz w:val="21"/>
                <w:szCs w:val="21"/>
              </w:rPr>
              <w:t>新增规模/产值</w:t>
            </w:r>
          </w:p>
        </w:tc>
      </w:tr>
      <w:tr w14:paraId="52C9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CC2C247">
            <w:pPr>
              <w:adjustRightInd w:val="0"/>
              <w:snapToGrid w:val="0"/>
              <w:spacing w:line="240" w:lineRule="auto"/>
              <w:ind w:firstLine="0" w:firstLineChars="0"/>
              <w:jc w:val="center"/>
              <w:rPr>
                <w:sz w:val="21"/>
                <w:szCs w:val="21"/>
              </w:rPr>
            </w:pPr>
            <w:r>
              <w:rPr>
                <w:sz w:val="21"/>
                <w:szCs w:val="21"/>
              </w:rPr>
              <w:t>1</w:t>
            </w:r>
          </w:p>
        </w:tc>
        <w:tc>
          <w:tcPr>
            <w:tcW w:w="0" w:type="auto"/>
            <w:vAlign w:val="center"/>
          </w:tcPr>
          <w:p w14:paraId="2007E9B5">
            <w:pPr>
              <w:adjustRightInd w:val="0"/>
              <w:snapToGrid w:val="0"/>
              <w:spacing w:line="240" w:lineRule="auto"/>
              <w:ind w:firstLine="0" w:firstLineChars="0"/>
              <w:jc w:val="center"/>
              <w:rPr>
                <w:sz w:val="21"/>
                <w:szCs w:val="21"/>
              </w:rPr>
            </w:pPr>
            <w:r>
              <w:rPr>
                <w:sz w:val="21"/>
                <w:szCs w:val="21"/>
              </w:rPr>
              <w:t>安全防护类</w:t>
            </w:r>
          </w:p>
        </w:tc>
        <w:tc>
          <w:tcPr>
            <w:tcW w:w="0" w:type="auto"/>
            <w:vAlign w:val="center"/>
          </w:tcPr>
          <w:p w14:paraId="073F360A">
            <w:pPr>
              <w:spacing w:line="240" w:lineRule="auto"/>
              <w:ind w:firstLine="0" w:firstLineChars="0"/>
              <w:jc w:val="center"/>
              <w:rPr>
                <w:sz w:val="21"/>
                <w:szCs w:val="21"/>
              </w:rPr>
            </w:pPr>
            <w:r>
              <w:rPr>
                <w:sz w:val="21"/>
                <w:szCs w:val="21"/>
              </w:rPr>
              <w:t>隔热阻燃、防毒防尘、防砸防刺穿、社会安全医疗保障产品等</w:t>
            </w:r>
          </w:p>
        </w:tc>
        <w:tc>
          <w:tcPr>
            <w:tcW w:w="0" w:type="auto"/>
            <w:vMerge w:val="restart"/>
            <w:vAlign w:val="center"/>
          </w:tcPr>
          <w:p w14:paraId="2B22C0B7">
            <w:pPr>
              <w:adjustRightInd w:val="0"/>
              <w:snapToGrid w:val="0"/>
              <w:spacing w:line="240" w:lineRule="auto"/>
              <w:ind w:firstLine="0" w:firstLineChars="0"/>
              <w:jc w:val="center"/>
              <w:rPr>
                <w:sz w:val="21"/>
                <w:szCs w:val="21"/>
              </w:rPr>
            </w:pPr>
            <w:r>
              <w:rPr>
                <w:sz w:val="21"/>
                <w:szCs w:val="21"/>
              </w:rPr>
              <w:t>20亿元</w:t>
            </w:r>
          </w:p>
        </w:tc>
        <w:tc>
          <w:tcPr>
            <w:tcW w:w="0" w:type="auto"/>
            <w:vMerge w:val="restart"/>
            <w:vAlign w:val="center"/>
          </w:tcPr>
          <w:p w14:paraId="23B24161">
            <w:pPr>
              <w:adjustRightInd w:val="0"/>
              <w:snapToGrid w:val="0"/>
              <w:spacing w:line="240" w:lineRule="auto"/>
              <w:ind w:firstLine="0" w:firstLineChars="0"/>
              <w:jc w:val="center"/>
              <w:rPr>
                <w:sz w:val="21"/>
                <w:szCs w:val="21"/>
              </w:rPr>
            </w:pPr>
            <w:r>
              <w:rPr>
                <w:sz w:val="21"/>
                <w:szCs w:val="21"/>
              </w:rPr>
              <w:t>40亿元</w:t>
            </w:r>
          </w:p>
        </w:tc>
      </w:tr>
      <w:tr w14:paraId="472D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A8F81ED">
            <w:pPr>
              <w:adjustRightInd w:val="0"/>
              <w:snapToGrid w:val="0"/>
              <w:spacing w:line="240" w:lineRule="auto"/>
              <w:ind w:firstLine="0" w:firstLineChars="0"/>
              <w:jc w:val="center"/>
              <w:rPr>
                <w:sz w:val="21"/>
                <w:szCs w:val="21"/>
              </w:rPr>
            </w:pPr>
            <w:r>
              <w:rPr>
                <w:sz w:val="21"/>
                <w:szCs w:val="21"/>
              </w:rPr>
              <w:t>2</w:t>
            </w:r>
          </w:p>
        </w:tc>
        <w:tc>
          <w:tcPr>
            <w:tcW w:w="0" w:type="auto"/>
            <w:vAlign w:val="center"/>
          </w:tcPr>
          <w:p w14:paraId="0B2B8B70">
            <w:pPr>
              <w:adjustRightInd w:val="0"/>
              <w:snapToGrid w:val="0"/>
              <w:spacing w:line="240" w:lineRule="auto"/>
              <w:ind w:firstLine="0" w:firstLineChars="0"/>
              <w:jc w:val="center"/>
              <w:rPr>
                <w:sz w:val="21"/>
                <w:szCs w:val="21"/>
              </w:rPr>
            </w:pPr>
            <w:r>
              <w:rPr>
                <w:sz w:val="21"/>
                <w:szCs w:val="21"/>
              </w:rPr>
              <w:t>应急救援处置类</w:t>
            </w:r>
          </w:p>
        </w:tc>
        <w:tc>
          <w:tcPr>
            <w:tcW w:w="0" w:type="auto"/>
            <w:vAlign w:val="center"/>
          </w:tcPr>
          <w:p w14:paraId="53571FDF">
            <w:pPr>
              <w:spacing w:line="240" w:lineRule="auto"/>
              <w:ind w:firstLine="0" w:firstLineChars="0"/>
              <w:jc w:val="center"/>
              <w:rPr>
                <w:sz w:val="21"/>
                <w:szCs w:val="21"/>
              </w:rPr>
            </w:pPr>
            <w:r>
              <w:rPr>
                <w:sz w:val="21"/>
                <w:szCs w:val="21"/>
              </w:rPr>
              <w:t>抗震救灾、草原防火、森林消防、应急工程抢险、高机动应急救援、医疗应急装备、矿山救援、社会安保产品等</w:t>
            </w:r>
          </w:p>
        </w:tc>
        <w:tc>
          <w:tcPr>
            <w:tcW w:w="0" w:type="auto"/>
            <w:vMerge w:val="continue"/>
            <w:vAlign w:val="center"/>
          </w:tcPr>
          <w:p w14:paraId="3684D12B">
            <w:pPr>
              <w:adjustRightInd w:val="0"/>
              <w:snapToGrid w:val="0"/>
              <w:spacing w:line="240" w:lineRule="auto"/>
              <w:ind w:firstLine="0" w:firstLineChars="0"/>
              <w:jc w:val="center"/>
              <w:rPr>
                <w:sz w:val="21"/>
                <w:szCs w:val="21"/>
              </w:rPr>
            </w:pPr>
          </w:p>
        </w:tc>
        <w:tc>
          <w:tcPr>
            <w:tcW w:w="0" w:type="auto"/>
            <w:vMerge w:val="continue"/>
            <w:vAlign w:val="center"/>
          </w:tcPr>
          <w:p w14:paraId="5FF1A112">
            <w:pPr>
              <w:adjustRightInd w:val="0"/>
              <w:snapToGrid w:val="0"/>
              <w:spacing w:line="240" w:lineRule="auto"/>
              <w:ind w:firstLine="0" w:firstLineChars="0"/>
              <w:jc w:val="center"/>
              <w:rPr>
                <w:sz w:val="21"/>
                <w:szCs w:val="21"/>
              </w:rPr>
            </w:pPr>
          </w:p>
        </w:tc>
      </w:tr>
    </w:tbl>
    <w:p w14:paraId="03E19CD8">
      <w:pPr>
        <w:pStyle w:val="97"/>
        <w:numPr>
          <w:ilvl w:val="2"/>
          <w:numId w:val="4"/>
        </w:numPr>
        <w:adjustRightInd w:val="0"/>
        <w:snapToGrid w:val="0"/>
        <w:spacing w:before="240" w:beforeLines="10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556" w:name="_Toc192675922"/>
      <w:r>
        <w:rPr>
          <w:rFonts w:ascii="Times New Roman" w:hAnsi="Times New Roman" w:eastAsia="黑体"/>
          <w:b/>
          <w:color w:val="000000" w:themeColor="text1"/>
          <w:sz w:val="30"/>
          <w:szCs w:val="30"/>
          <w14:textFill>
            <w14:solidFill>
              <w14:schemeClr w14:val="tx1"/>
            </w14:solidFill>
          </w14:textFill>
        </w:rPr>
        <w:t>节能环保设备制造</w:t>
      </w:r>
      <w:bookmarkEnd w:id="556"/>
    </w:p>
    <w:p w14:paraId="755D7E70">
      <w:pPr>
        <w:pStyle w:val="269"/>
        <w:ind w:firstLine="560"/>
      </w:pPr>
      <w:r>
        <w:t>1、发展趋势</w:t>
      </w:r>
    </w:p>
    <w:p w14:paraId="54637A33">
      <w:pPr>
        <w:pStyle w:val="269"/>
        <w:ind w:firstLine="560"/>
      </w:pPr>
      <w:r>
        <w:t>节能环保产业是指为节约能源资源、发展循环经济、保护环境提供技术基础和装备保障的产业，主要包括节能产业、资源循环利用产业和环保装备产业，涉及节能环保技术与装备、节能产品和服务等其六大领域包括:节能技术和装备、高效节能产品、节能服务产业、先进环保技术和装备、环保产品与环保服务。节能环保产业作为国家九大战略新兴产业之一，是国家经济又好又快发展的重要支撑是实现可持续发展的长远保障，其发展被提升至国家战略高度。2021 年 3 月5 日，政府工作报告中提出“30 碳达峰、60 碳中和”发展战略，在“双碳”目标引领下，节能环保产业内涵被数倍打开，节能环保产业发展迎来新机遇</w:t>
      </w:r>
    </w:p>
    <w:p w14:paraId="6E53C0B3">
      <w:pPr>
        <w:pStyle w:val="269"/>
        <w:ind w:firstLine="560"/>
      </w:pPr>
      <w:r>
        <w:t>2、发展思路</w:t>
      </w:r>
    </w:p>
    <w:p w14:paraId="22071821">
      <w:pPr>
        <w:pStyle w:val="269"/>
        <w:ind w:firstLine="560"/>
      </w:pPr>
      <w:r>
        <w:t>以“双碳”目标引领，综合考虑全国市场及包头市周边地区对节能环保设备市场需求，布局发展高效节能、先进环保、资源循环利用等节能环保产业，大力推进产业“优链、强链、延链”。充分发挥自身资源优势、成本优势和区位优势。以提升产业绿色竞争力、补齐资源环境短板为目标，依托园区装备制造业基础，围绕节能环保装备研发、制造、检验检测、应用服务等产业链，加大产业招商引资力度，推动建设节能环保装备产业集聚。</w:t>
      </w:r>
    </w:p>
    <w:p w14:paraId="7E6FD08D">
      <w:pPr>
        <w:pStyle w:val="269"/>
        <w:ind w:firstLine="560"/>
      </w:pPr>
      <w:r>
        <w:t>3、发展重点</w:t>
      </w:r>
    </w:p>
    <w:p w14:paraId="7B5CF8F5">
      <w:pPr>
        <w:pStyle w:val="269"/>
        <w:ind w:firstLine="560"/>
      </w:pPr>
      <w:r>
        <w:t>以提升产业绿色竞争力、补齐资源环境短板为目标，依托园区装备制造业基础，围绕建设高效节能通用设备制造、高效节能专用设备制造、先进环保产业、资源循环利用产业等战略新兴产业产业链，加大产业招商引资力度，推动建设节能环保装备产业集聚。</w:t>
      </w:r>
    </w:p>
    <w:p w14:paraId="5DDC6BEA">
      <w:pPr>
        <w:pStyle w:val="269"/>
        <w:ind w:firstLine="0" w:firstLineChars="0"/>
        <w:jc w:val="center"/>
      </w:pPr>
      <w:r>
        <w:object>
          <v:shape id="_x0000_i1027" o:spt="75" type="#_x0000_t75" style="height:231.6pt;width:265.6pt;" o:ole="t" filled="f" o:preferrelative="t" stroked="f" coordsize="21600,21600">
            <v:path/>
            <v:fill on="f" focussize="0,0"/>
            <v:stroke on="f" joinstyle="miter"/>
            <v:imagedata r:id="rId28" o:title=""/>
            <o:lock v:ext="edit" aspectratio="t"/>
            <w10:wrap type="none"/>
            <w10:anchorlock/>
          </v:shape>
          <o:OLEObject Type="Embed" ProgID="Visio.Drawing.11" ShapeID="_x0000_i1027" DrawAspect="Content" ObjectID="_1468075727" r:id="rId27">
            <o:LockedField>false</o:LockedField>
          </o:OLEObject>
        </w:object>
      </w:r>
    </w:p>
    <w:p w14:paraId="7845BD6A">
      <w:pPr>
        <w:pStyle w:val="269"/>
        <w:ind w:firstLine="0" w:firstLineChars="0"/>
        <w:jc w:val="center"/>
      </w:pPr>
      <w:r>
        <w:rPr>
          <w:rFonts w:hint="eastAsia"/>
        </w:rPr>
        <w:t>图6.1-3</w:t>
      </w:r>
      <w:r>
        <w:t xml:space="preserve"> </w:t>
      </w:r>
      <w:r>
        <w:rPr>
          <w:rFonts w:hint="eastAsia"/>
        </w:rPr>
        <w:t>节能环保装备制造产业链规划图</w:t>
      </w:r>
    </w:p>
    <w:p w14:paraId="218A2612">
      <w:pPr>
        <w:pStyle w:val="269"/>
        <w:ind w:firstLine="560"/>
      </w:pPr>
      <w:r>
        <w:rPr>
          <w:rFonts w:hint="eastAsia"/>
        </w:rPr>
        <w:t>4</w:t>
      </w:r>
      <w:r>
        <w:t>、产业重点方向规划</w:t>
      </w:r>
    </w:p>
    <w:p w14:paraId="55037837">
      <w:pPr>
        <w:pStyle w:val="264"/>
      </w:pPr>
      <w:r>
        <w:t>表6.1-4 节能环保产业发展重点</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4271"/>
        <w:gridCol w:w="1259"/>
        <w:gridCol w:w="1259"/>
      </w:tblGrid>
      <w:tr w14:paraId="1364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F894B61">
            <w:pPr>
              <w:pStyle w:val="269"/>
              <w:spacing w:line="240" w:lineRule="auto"/>
              <w:ind w:firstLine="0" w:firstLineChars="0"/>
              <w:jc w:val="center"/>
              <w:rPr>
                <w:sz w:val="21"/>
                <w:szCs w:val="21"/>
              </w:rPr>
            </w:pPr>
            <w:r>
              <w:rPr>
                <w:rFonts w:hint="eastAsia"/>
                <w:sz w:val="21"/>
                <w:szCs w:val="21"/>
                <w:lang w:eastAsia="zh-CN"/>
              </w:rPr>
              <w:t>战略性新兴产业</w:t>
            </w:r>
            <w:r>
              <w:rPr>
                <w:sz w:val="21"/>
                <w:szCs w:val="21"/>
              </w:rPr>
              <w:t>分类</w:t>
            </w:r>
          </w:p>
        </w:tc>
        <w:tc>
          <w:tcPr>
            <w:tcW w:w="0" w:type="auto"/>
            <w:vAlign w:val="center"/>
          </w:tcPr>
          <w:p w14:paraId="72DDB2B7">
            <w:pPr>
              <w:pStyle w:val="269"/>
              <w:spacing w:line="240" w:lineRule="auto"/>
              <w:ind w:firstLine="0" w:firstLineChars="0"/>
              <w:jc w:val="center"/>
              <w:rPr>
                <w:sz w:val="21"/>
                <w:szCs w:val="21"/>
              </w:rPr>
            </w:pPr>
            <w:r>
              <w:rPr>
                <w:sz w:val="21"/>
                <w:szCs w:val="21"/>
              </w:rPr>
              <w:t>重点方向</w:t>
            </w:r>
          </w:p>
        </w:tc>
        <w:tc>
          <w:tcPr>
            <w:tcW w:w="0" w:type="auto"/>
            <w:vAlign w:val="center"/>
          </w:tcPr>
          <w:p w14:paraId="0BE623D8">
            <w:pPr>
              <w:adjustRightInd w:val="0"/>
              <w:snapToGrid w:val="0"/>
              <w:spacing w:line="240" w:lineRule="auto"/>
              <w:ind w:firstLine="0" w:firstLineChars="0"/>
              <w:jc w:val="center"/>
              <w:rPr>
                <w:kern w:val="0"/>
                <w:sz w:val="21"/>
                <w:szCs w:val="21"/>
              </w:rPr>
            </w:pPr>
            <w:r>
              <w:rPr>
                <w:color w:val="000000" w:themeColor="text1"/>
                <w:kern w:val="0"/>
                <w:sz w:val="21"/>
                <w:szCs w:val="21"/>
                <w14:textFill>
                  <w14:solidFill>
                    <w14:schemeClr w14:val="tx1"/>
                  </w14:solidFill>
                </w14:textFill>
              </w:rPr>
              <w:t>2030年末</w:t>
            </w:r>
          </w:p>
          <w:p w14:paraId="24BF6966">
            <w:pPr>
              <w:pStyle w:val="269"/>
              <w:spacing w:line="240" w:lineRule="auto"/>
              <w:ind w:firstLine="0" w:firstLineChars="0"/>
              <w:jc w:val="center"/>
              <w:rPr>
                <w:sz w:val="21"/>
                <w:szCs w:val="21"/>
              </w:rPr>
            </w:pPr>
            <w:r>
              <w:rPr>
                <w:sz w:val="21"/>
                <w:szCs w:val="21"/>
              </w:rPr>
              <w:t>新增规模/产值</w:t>
            </w:r>
          </w:p>
        </w:tc>
        <w:tc>
          <w:tcPr>
            <w:tcW w:w="0" w:type="auto"/>
            <w:vAlign w:val="center"/>
          </w:tcPr>
          <w:p w14:paraId="7B537DEC">
            <w:pPr>
              <w:adjustRightInd w:val="0"/>
              <w:snapToGrid w:val="0"/>
              <w:spacing w:line="240" w:lineRule="auto"/>
              <w:ind w:firstLine="0" w:firstLineChars="0"/>
              <w:jc w:val="center"/>
              <w:rPr>
                <w:kern w:val="0"/>
                <w:sz w:val="21"/>
                <w:szCs w:val="21"/>
              </w:rPr>
            </w:pPr>
            <w:r>
              <w:rPr>
                <w:color w:val="000000" w:themeColor="text1"/>
                <w:kern w:val="0"/>
                <w:sz w:val="21"/>
                <w:szCs w:val="21"/>
                <w14:textFill>
                  <w14:solidFill>
                    <w14:schemeClr w14:val="tx1"/>
                  </w14:solidFill>
                </w14:textFill>
              </w:rPr>
              <w:t>2035年末</w:t>
            </w:r>
          </w:p>
          <w:p w14:paraId="532D809C">
            <w:pPr>
              <w:pStyle w:val="269"/>
              <w:spacing w:line="240" w:lineRule="auto"/>
              <w:ind w:firstLine="0" w:firstLineChars="0"/>
              <w:jc w:val="center"/>
              <w:rPr>
                <w:sz w:val="21"/>
                <w:szCs w:val="21"/>
              </w:rPr>
            </w:pPr>
            <w:r>
              <w:rPr>
                <w:sz w:val="21"/>
                <w:szCs w:val="21"/>
              </w:rPr>
              <w:t>新增规模/产值</w:t>
            </w:r>
          </w:p>
        </w:tc>
      </w:tr>
      <w:tr w14:paraId="6B07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61C988A">
            <w:pPr>
              <w:pStyle w:val="269"/>
              <w:spacing w:line="240" w:lineRule="auto"/>
              <w:ind w:firstLine="0" w:firstLineChars="0"/>
              <w:jc w:val="center"/>
              <w:rPr>
                <w:sz w:val="21"/>
                <w:szCs w:val="21"/>
              </w:rPr>
            </w:pPr>
            <w:r>
              <w:rPr>
                <w:sz w:val="21"/>
                <w:szCs w:val="21"/>
              </w:rPr>
              <w:t>高效节能通用设备制造</w:t>
            </w:r>
          </w:p>
        </w:tc>
        <w:tc>
          <w:tcPr>
            <w:tcW w:w="0" w:type="auto"/>
            <w:vAlign w:val="center"/>
          </w:tcPr>
          <w:p w14:paraId="2DB946D7">
            <w:pPr>
              <w:pStyle w:val="269"/>
              <w:spacing w:line="240" w:lineRule="auto"/>
              <w:ind w:firstLine="0" w:firstLineChars="0"/>
              <w:jc w:val="center"/>
              <w:rPr>
                <w:sz w:val="21"/>
                <w:szCs w:val="21"/>
              </w:rPr>
            </w:pPr>
            <w:r>
              <w:rPr>
                <w:sz w:val="21"/>
                <w:szCs w:val="21"/>
              </w:rPr>
              <w:t>汽轮机及辅机制造、液压动力机械及元件制造、风机风扇制造</w:t>
            </w:r>
          </w:p>
        </w:tc>
        <w:tc>
          <w:tcPr>
            <w:tcW w:w="0" w:type="auto"/>
            <w:vMerge w:val="restart"/>
            <w:vAlign w:val="center"/>
          </w:tcPr>
          <w:p w14:paraId="257B0CC4">
            <w:pPr>
              <w:pStyle w:val="269"/>
              <w:spacing w:line="240" w:lineRule="auto"/>
              <w:ind w:firstLine="0" w:firstLineChars="0"/>
              <w:jc w:val="center"/>
              <w:rPr>
                <w:sz w:val="21"/>
                <w:szCs w:val="21"/>
              </w:rPr>
            </w:pPr>
            <w:r>
              <w:rPr>
                <w:sz w:val="21"/>
                <w:szCs w:val="21"/>
              </w:rPr>
              <w:t>10亿元</w:t>
            </w:r>
          </w:p>
        </w:tc>
        <w:tc>
          <w:tcPr>
            <w:tcW w:w="0" w:type="auto"/>
            <w:vMerge w:val="restart"/>
            <w:vAlign w:val="center"/>
          </w:tcPr>
          <w:p w14:paraId="253EF254">
            <w:pPr>
              <w:pStyle w:val="269"/>
              <w:spacing w:line="240" w:lineRule="auto"/>
              <w:ind w:firstLine="0" w:firstLineChars="0"/>
              <w:jc w:val="center"/>
              <w:rPr>
                <w:sz w:val="21"/>
                <w:szCs w:val="21"/>
              </w:rPr>
            </w:pPr>
            <w:r>
              <w:rPr>
                <w:sz w:val="21"/>
                <w:szCs w:val="21"/>
              </w:rPr>
              <w:t>20亿元</w:t>
            </w:r>
          </w:p>
        </w:tc>
      </w:tr>
      <w:tr w14:paraId="0902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7413CC7">
            <w:pPr>
              <w:pStyle w:val="269"/>
              <w:spacing w:line="240" w:lineRule="auto"/>
              <w:ind w:firstLine="0" w:firstLineChars="0"/>
              <w:jc w:val="center"/>
              <w:rPr>
                <w:sz w:val="21"/>
                <w:szCs w:val="21"/>
              </w:rPr>
            </w:pPr>
            <w:r>
              <w:rPr>
                <w:sz w:val="21"/>
                <w:szCs w:val="21"/>
              </w:rPr>
              <w:t>高效节能专用设备制造</w:t>
            </w:r>
          </w:p>
        </w:tc>
        <w:tc>
          <w:tcPr>
            <w:tcW w:w="0" w:type="auto"/>
            <w:vAlign w:val="center"/>
          </w:tcPr>
          <w:p w14:paraId="314EA2BC">
            <w:pPr>
              <w:pStyle w:val="269"/>
              <w:spacing w:line="240" w:lineRule="auto"/>
              <w:ind w:firstLine="0" w:firstLineChars="0"/>
              <w:jc w:val="center"/>
              <w:rPr>
                <w:sz w:val="21"/>
                <w:szCs w:val="21"/>
              </w:rPr>
            </w:pPr>
            <w:r>
              <w:rPr>
                <w:sz w:val="21"/>
                <w:szCs w:val="21"/>
              </w:rPr>
              <w:t>各行业高效节能专用设备</w:t>
            </w:r>
          </w:p>
        </w:tc>
        <w:tc>
          <w:tcPr>
            <w:tcW w:w="0" w:type="auto"/>
            <w:vMerge w:val="continue"/>
            <w:vAlign w:val="center"/>
          </w:tcPr>
          <w:p w14:paraId="213EE6CD">
            <w:pPr>
              <w:pStyle w:val="269"/>
              <w:spacing w:line="240" w:lineRule="auto"/>
              <w:ind w:firstLine="0" w:firstLineChars="0"/>
              <w:jc w:val="center"/>
              <w:rPr>
                <w:sz w:val="21"/>
                <w:szCs w:val="21"/>
              </w:rPr>
            </w:pPr>
          </w:p>
        </w:tc>
        <w:tc>
          <w:tcPr>
            <w:tcW w:w="0" w:type="auto"/>
            <w:vMerge w:val="continue"/>
            <w:vAlign w:val="center"/>
          </w:tcPr>
          <w:p w14:paraId="7802BD09">
            <w:pPr>
              <w:pStyle w:val="269"/>
              <w:spacing w:line="240" w:lineRule="auto"/>
              <w:ind w:firstLine="0" w:firstLineChars="0"/>
              <w:jc w:val="center"/>
              <w:rPr>
                <w:sz w:val="21"/>
                <w:szCs w:val="21"/>
              </w:rPr>
            </w:pPr>
          </w:p>
        </w:tc>
      </w:tr>
      <w:tr w14:paraId="12EAD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3CBB317">
            <w:pPr>
              <w:pStyle w:val="269"/>
              <w:spacing w:line="240" w:lineRule="auto"/>
              <w:ind w:firstLine="0" w:firstLineChars="0"/>
              <w:jc w:val="center"/>
              <w:rPr>
                <w:sz w:val="21"/>
                <w:szCs w:val="21"/>
              </w:rPr>
            </w:pPr>
            <w:r>
              <w:rPr>
                <w:sz w:val="21"/>
                <w:szCs w:val="21"/>
              </w:rPr>
              <w:t>先进环保</w:t>
            </w:r>
            <w:r>
              <w:rPr>
                <w:rFonts w:hint="eastAsia"/>
                <w:sz w:val="21"/>
                <w:szCs w:val="21"/>
              </w:rPr>
              <w:t>设备</w:t>
            </w:r>
          </w:p>
        </w:tc>
        <w:tc>
          <w:tcPr>
            <w:tcW w:w="0" w:type="auto"/>
            <w:vAlign w:val="center"/>
          </w:tcPr>
          <w:p w14:paraId="2C817090">
            <w:pPr>
              <w:pStyle w:val="269"/>
              <w:spacing w:line="240" w:lineRule="auto"/>
              <w:ind w:firstLine="0" w:firstLineChars="0"/>
              <w:jc w:val="center"/>
              <w:rPr>
                <w:sz w:val="21"/>
                <w:szCs w:val="21"/>
              </w:rPr>
            </w:pPr>
            <w:r>
              <w:rPr>
                <w:sz w:val="21"/>
                <w:szCs w:val="21"/>
              </w:rPr>
              <w:t>环境保护专用设备、环境保护检测仪器及电子设备</w:t>
            </w:r>
          </w:p>
        </w:tc>
        <w:tc>
          <w:tcPr>
            <w:tcW w:w="0" w:type="auto"/>
            <w:vMerge w:val="continue"/>
            <w:vAlign w:val="center"/>
          </w:tcPr>
          <w:p w14:paraId="4F73A85F">
            <w:pPr>
              <w:pStyle w:val="269"/>
              <w:spacing w:line="240" w:lineRule="auto"/>
              <w:ind w:firstLine="0" w:firstLineChars="0"/>
              <w:jc w:val="center"/>
              <w:rPr>
                <w:sz w:val="21"/>
                <w:szCs w:val="21"/>
              </w:rPr>
            </w:pPr>
          </w:p>
        </w:tc>
        <w:tc>
          <w:tcPr>
            <w:tcW w:w="0" w:type="auto"/>
            <w:vMerge w:val="continue"/>
            <w:vAlign w:val="center"/>
          </w:tcPr>
          <w:p w14:paraId="46594FDE">
            <w:pPr>
              <w:pStyle w:val="269"/>
              <w:spacing w:line="240" w:lineRule="auto"/>
              <w:ind w:firstLine="0" w:firstLineChars="0"/>
              <w:jc w:val="center"/>
              <w:rPr>
                <w:sz w:val="21"/>
                <w:szCs w:val="21"/>
              </w:rPr>
            </w:pPr>
          </w:p>
        </w:tc>
      </w:tr>
      <w:tr w14:paraId="1E13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4"/>
            <w:vAlign w:val="center"/>
          </w:tcPr>
          <w:p w14:paraId="4AAAEF3D">
            <w:pPr>
              <w:pStyle w:val="269"/>
              <w:spacing w:line="240" w:lineRule="auto"/>
              <w:ind w:firstLine="0" w:firstLineChars="0"/>
              <w:jc w:val="center"/>
              <w:rPr>
                <w:sz w:val="21"/>
                <w:szCs w:val="21"/>
              </w:rPr>
            </w:pPr>
            <w:r>
              <w:rPr>
                <w:sz w:val="21"/>
                <w:szCs w:val="21"/>
              </w:rPr>
              <w:t>备注：</w:t>
            </w:r>
            <w:r>
              <w:rPr>
                <w:rFonts w:hint="eastAsia"/>
                <w:sz w:val="21"/>
                <w:szCs w:val="21"/>
                <w:lang w:eastAsia="zh-CN"/>
              </w:rPr>
              <w:t>战略性新兴产业</w:t>
            </w:r>
            <w:r>
              <w:rPr>
                <w:sz w:val="21"/>
                <w:szCs w:val="21"/>
              </w:rPr>
              <w:t>分类参考《工业战略性新兴产业分类》（2024）</w:t>
            </w:r>
          </w:p>
        </w:tc>
      </w:tr>
    </w:tbl>
    <w:p w14:paraId="25D0F2AA">
      <w:pPr>
        <w:pStyle w:val="97"/>
        <w:numPr>
          <w:ilvl w:val="2"/>
          <w:numId w:val="4"/>
        </w:numPr>
        <w:adjustRightInd w:val="0"/>
        <w:snapToGrid w:val="0"/>
        <w:spacing w:before="240" w:beforeLines="10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557" w:name="_Toc192675923"/>
      <w:r>
        <w:rPr>
          <w:rFonts w:ascii="Times New Roman" w:hAnsi="Times New Roman" w:eastAsia="黑体"/>
          <w:b/>
          <w:color w:val="000000" w:themeColor="text1"/>
          <w:sz w:val="30"/>
          <w:szCs w:val="30"/>
          <w14:textFill>
            <w14:solidFill>
              <w14:schemeClr w14:val="tx1"/>
            </w14:solidFill>
          </w14:textFill>
        </w:rPr>
        <w:t>医疗器械装备制造</w:t>
      </w:r>
      <w:bookmarkEnd w:id="557"/>
    </w:p>
    <w:p w14:paraId="3E3AD64F">
      <w:pPr>
        <w:pStyle w:val="269"/>
        <w:ind w:firstLine="560"/>
      </w:pPr>
      <w:r>
        <w:t>1、发展趋势</w:t>
      </w:r>
    </w:p>
    <w:p w14:paraId="039533F8">
      <w:pPr>
        <w:pStyle w:val="269"/>
        <w:ind w:firstLine="560"/>
      </w:pPr>
      <w:r>
        <w:t>我国正处于医疗健康产业迅速发展的新阶段。有研究显示，到2025年，我国大健康产业产值将达到17.4万亿元；到2030年，我国大健康产业产值预计达到29.1万亿元。医疗健康行业，必然是未来越来越受到重视的产业。医疗器械行业属于高技术行业，涉及到医药、机械、电子、塑料等多个领域，生产工艺相对复杂，进入门槛较高。同时也是衡量一个国家制造业和高科技尖端水平的一大关键性指标，在国内属于国家重点鼓励发展的产业之一。“十四五”时期，我国医疗装备产业发展既面临重大机遇，又面临重大挑战。新一轮科技革命和产业变革深入推进，制造业与新一代信息技术融合提速，生产线、车间、工厂的自动化、数字化水平不断提升，智能制造技术在医疗装备开发设计、生产制造过程当中的应用不断增多，给医疗装备发展带来新的机遇。</w:t>
      </w:r>
    </w:p>
    <w:p w14:paraId="240A0ED2">
      <w:pPr>
        <w:pStyle w:val="269"/>
        <w:ind w:firstLine="560"/>
      </w:pPr>
      <w:r>
        <w:t>2、发展思路</w:t>
      </w:r>
    </w:p>
    <w:p w14:paraId="2716479A">
      <w:pPr>
        <w:pStyle w:val="269"/>
        <w:ind w:firstLine="560"/>
      </w:pPr>
      <w:r>
        <w:t>以深化供给侧结构性改革为主线，以科技创新为根本动力，突出创新驱动、主体培育、数字化转型、强链延链、平台提升，着力构建先进医疗器械制造产业体系，围绕的7个重点领域（诊断检验装备、治疗装备、监护与生命支持装备、中医诊疗装备、妇幼健康装备、保健康复装备、有源植介入器械），积极培育全人群从防、诊、治到康、护、养全方位全生命周期医疗健康服务装备产业链需求。</w:t>
      </w:r>
    </w:p>
    <w:p w14:paraId="2757E7FA">
      <w:pPr>
        <w:pStyle w:val="269"/>
        <w:ind w:firstLine="560"/>
      </w:pPr>
      <w:r>
        <w:t>3、发展重点</w:t>
      </w:r>
    </w:p>
    <w:p w14:paraId="4A864736">
      <w:pPr>
        <w:pStyle w:val="269"/>
        <w:ind w:firstLine="560"/>
      </w:pPr>
      <w:r>
        <w:t>园区是以装备制造产业为主的产业园区，是集聚产业和集成资源的重要平台，可为先进医疗器械产业的发展提供有力支撑。依托园区具备先进的制造技术、高端制造装备制造先进的制造流程，结合园区布局发展智能制造业，布局引进高质量先进医疗器械制造企业，填补园区在医疗器械制造业空白。</w:t>
      </w:r>
    </w:p>
    <w:p w14:paraId="38F29D02">
      <w:pPr>
        <w:pStyle w:val="269"/>
        <w:ind w:firstLine="0" w:firstLineChars="0"/>
        <w:jc w:val="center"/>
      </w:pPr>
      <w:r>
        <w:object>
          <v:shape id="_x0000_i1028" o:spt="75" type="#_x0000_t75" style="height:141.3pt;width:374.95pt;" o:ole="t" filled="f" o:preferrelative="t" stroked="f" coordsize="21600,21600">
            <v:path/>
            <v:fill on="f" focussize="0,0"/>
            <v:stroke on="f" joinstyle="miter"/>
            <v:imagedata r:id="rId30" o:title=""/>
            <o:lock v:ext="edit" aspectratio="t"/>
            <w10:wrap type="none"/>
            <w10:anchorlock/>
          </v:shape>
          <o:OLEObject Type="Embed" ProgID="Visio.Drawing.11" ShapeID="_x0000_i1028" DrawAspect="Content" ObjectID="_1468075728" r:id="rId29">
            <o:LockedField>false</o:LockedField>
          </o:OLEObject>
        </w:object>
      </w:r>
    </w:p>
    <w:p w14:paraId="602CFD39">
      <w:pPr>
        <w:pStyle w:val="269"/>
        <w:ind w:firstLine="0" w:firstLineChars="0"/>
        <w:jc w:val="center"/>
      </w:pPr>
      <w:r>
        <w:rPr>
          <w:rFonts w:hint="eastAsia"/>
        </w:rPr>
        <w:t>图6.1-4</w:t>
      </w:r>
      <w:r>
        <w:t xml:space="preserve"> </w:t>
      </w:r>
      <w:r>
        <w:rPr>
          <w:rFonts w:hint="eastAsia"/>
        </w:rPr>
        <w:t>医疗器械装备制造产业链规划图</w:t>
      </w:r>
    </w:p>
    <w:p w14:paraId="1C785E6C">
      <w:pPr>
        <w:pStyle w:val="269"/>
        <w:ind w:firstLine="560"/>
      </w:pPr>
      <w:r>
        <w:rPr>
          <w:rFonts w:hint="eastAsia"/>
        </w:rPr>
        <w:t>4</w:t>
      </w:r>
      <w:r>
        <w:t>、产业重点方向规划</w:t>
      </w:r>
    </w:p>
    <w:p w14:paraId="526CF82C">
      <w:pPr>
        <w:pStyle w:val="264"/>
      </w:pPr>
      <w:r>
        <w:t>表6.1-5 医疗器械装备制造产业发展重点</w:t>
      </w:r>
    </w:p>
    <w:tbl>
      <w:tblPr>
        <w:tblStyle w:val="6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4"/>
        <w:gridCol w:w="1495"/>
        <w:gridCol w:w="2172"/>
        <w:gridCol w:w="2172"/>
      </w:tblGrid>
      <w:tr w14:paraId="6887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pct"/>
            <w:vAlign w:val="center"/>
          </w:tcPr>
          <w:p w14:paraId="5E3212B1">
            <w:pPr>
              <w:pStyle w:val="269"/>
              <w:spacing w:line="240" w:lineRule="auto"/>
              <w:ind w:firstLine="0" w:firstLineChars="0"/>
              <w:jc w:val="center"/>
              <w:rPr>
                <w:sz w:val="21"/>
                <w:szCs w:val="21"/>
              </w:rPr>
            </w:pPr>
            <w:r>
              <w:rPr>
                <w:rFonts w:hint="eastAsia"/>
                <w:sz w:val="21"/>
                <w:szCs w:val="21"/>
                <w:lang w:eastAsia="zh-CN"/>
              </w:rPr>
              <w:t>战略性新兴产业</w:t>
            </w:r>
            <w:r>
              <w:rPr>
                <w:sz w:val="21"/>
                <w:szCs w:val="21"/>
              </w:rPr>
              <w:t>分类</w:t>
            </w:r>
          </w:p>
        </w:tc>
        <w:tc>
          <w:tcPr>
            <w:tcW w:w="877" w:type="pct"/>
            <w:vAlign w:val="center"/>
          </w:tcPr>
          <w:p w14:paraId="372404BB">
            <w:pPr>
              <w:pStyle w:val="269"/>
              <w:spacing w:line="240" w:lineRule="auto"/>
              <w:ind w:firstLine="0" w:firstLineChars="0"/>
              <w:jc w:val="center"/>
              <w:rPr>
                <w:sz w:val="21"/>
                <w:szCs w:val="21"/>
              </w:rPr>
            </w:pPr>
            <w:r>
              <w:rPr>
                <w:sz w:val="21"/>
                <w:szCs w:val="21"/>
              </w:rPr>
              <w:t>重点方向</w:t>
            </w:r>
          </w:p>
        </w:tc>
        <w:tc>
          <w:tcPr>
            <w:tcW w:w="1274" w:type="pct"/>
            <w:vAlign w:val="center"/>
          </w:tcPr>
          <w:p w14:paraId="5004A645">
            <w:pPr>
              <w:adjustRightInd w:val="0"/>
              <w:snapToGrid w:val="0"/>
              <w:spacing w:line="240" w:lineRule="auto"/>
              <w:ind w:firstLine="0" w:firstLineChars="0"/>
              <w:jc w:val="center"/>
              <w:rPr>
                <w:kern w:val="0"/>
                <w:sz w:val="21"/>
                <w:szCs w:val="21"/>
              </w:rPr>
            </w:pPr>
            <w:r>
              <w:rPr>
                <w:color w:val="000000" w:themeColor="text1"/>
                <w:kern w:val="0"/>
                <w:sz w:val="21"/>
                <w:szCs w:val="21"/>
                <w14:textFill>
                  <w14:solidFill>
                    <w14:schemeClr w14:val="tx1"/>
                  </w14:solidFill>
                </w14:textFill>
              </w:rPr>
              <w:t>2030年末</w:t>
            </w:r>
          </w:p>
          <w:p w14:paraId="642D4496">
            <w:pPr>
              <w:pStyle w:val="269"/>
              <w:spacing w:line="240" w:lineRule="auto"/>
              <w:ind w:firstLine="0" w:firstLineChars="0"/>
              <w:jc w:val="center"/>
              <w:rPr>
                <w:sz w:val="21"/>
                <w:szCs w:val="21"/>
              </w:rPr>
            </w:pPr>
            <w:r>
              <w:rPr>
                <w:sz w:val="21"/>
                <w:szCs w:val="21"/>
              </w:rPr>
              <w:t>新增规模/产值</w:t>
            </w:r>
          </w:p>
        </w:tc>
        <w:tc>
          <w:tcPr>
            <w:tcW w:w="1274" w:type="pct"/>
            <w:vAlign w:val="center"/>
          </w:tcPr>
          <w:p w14:paraId="3CB397C0">
            <w:pPr>
              <w:adjustRightInd w:val="0"/>
              <w:snapToGrid w:val="0"/>
              <w:spacing w:line="240" w:lineRule="auto"/>
              <w:ind w:firstLine="0" w:firstLineChars="0"/>
              <w:jc w:val="center"/>
              <w:rPr>
                <w:kern w:val="0"/>
                <w:sz w:val="21"/>
                <w:szCs w:val="21"/>
              </w:rPr>
            </w:pPr>
            <w:r>
              <w:rPr>
                <w:color w:val="000000" w:themeColor="text1"/>
                <w:kern w:val="0"/>
                <w:sz w:val="21"/>
                <w:szCs w:val="21"/>
                <w14:textFill>
                  <w14:solidFill>
                    <w14:schemeClr w14:val="tx1"/>
                  </w14:solidFill>
                </w14:textFill>
              </w:rPr>
              <w:t>2035年末</w:t>
            </w:r>
          </w:p>
          <w:p w14:paraId="74C80BAA">
            <w:pPr>
              <w:pStyle w:val="269"/>
              <w:spacing w:line="240" w:lineRule="auto"/>
              <w:ind w:firstLine="0" w:firstLineChars="0"/>
              <w:jc w:val="center"/>
              <w:rPr>
                <w:sz w:val="21"/>
                <w:szCs w:val="21"/>
              </w:rPr>
            </w:pPr>
            <w:r>
              <w:rPr>
                <w:sz w:val="21"/>
                <w:szCs w:val="21"/>
              </w:rPr>
              <w:t>新增规模/产值</w:t>
            </w:r>
          </w:p>
        </w:tc>
      </w:tr>
      <w:tr w14:paraId="53CD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5" w:type="pct"/>
            <w:vAlign w:val="center"/>
          </w:tcPr>
          <w:p w14:paraId="652BE7C8">
            <w:pPr>
              <w:pStyle w:val="269"/>
              <w:spacing w:line="240" w:lineRule="auto"/>
              <w:ind w:firstLine="0" w:firstLineChars="0"/>
              <w:jc w:val="center"/>
              <w:rPr>
                <w:sz w:val="21"/>
                <w:szCs w:val="21"/>
              </w:rPr>
            </w:pPr>
            <w:r>
              <w:rPr>
                <w:sz w:val="21"/>
                <w:szCs w:val="21"/>
              </w:rPr>
              <w:t>先进医疗设备及器械制造</w:t>
            </w:r>
          </w:p>
        </w:tc>
        <w:tc>
          <w:tcPr>
            <w:tcW w:w="877" w:type="pct"/>
            <w:vAlign w:val="center"/>
          </w:tcPr>
          <w:p w14:paraId="5CDBF3E8">
            <w:pPr>
              <w:pStyle w:val="269"/>
              <w:spacing w:line="240" w:lineRule="auto"/>
              <w:ind w:firstLine="0" w:firstLineChars="0"/>
              <w:jc w:val="center"/>
              <w:rPr>
                <w:sz w:val="21"/>
                <w:szCs w:val="21"/>
              </w:rPr>
            </w:pPr>
            <w:r>
              <w:rPr>
                <w:sz w:val="21"/>
                <w:szCs w:val="21"/>
              </w:rPr>
              <w:t>医疗诊断、监护及治疗设备</w:t>
            </w:r>
          </w:p>
        </w:tc>
        <w:tc>
          <w:tcPr>
            <w:tcW w:w="1274" w:type="pct"/>
            <w:vAlign w:val="center"/>
          </w:tcPr>
          <w:p w14:paraId="164DAEE0">
            <w:pPr>
              <w:adjustRightInd w:val="0"/>
              <w:snapToGrid w:val="0"/>
              <w:spacing w:line="240" w:lineRule="auto"/>
              <w:ind w:firstLine="0" w:firstLineChars="0"/>
              <w:jc w:val="center"/>
              <w:rPr>
                <w:kern w:val="0"/>
                <w:sz w:val="21"/>
                <w:szCs w:val="21"/>
              </w:rPr>
            </w:pPr>
            <w:r>
              <w:rPr>
                <w:kern w:val="0"/>
                <w:sz w:val="21"/>
                <w:szCs w:val="21"/>
              </w:rPr>
              <w:t>10亿元</w:t>
            </w:r>
          </w:p>
        </w:tc>
        <w:tc>
          <w:tcPr>
            <w:tcW w:w="1274" w:type="pct"/>
            <w:vAlign w:val="center"/>
          </w:tcPr>
          <w:p w14:paraId="49891906">
            <w:pPr>
              <w:adjustRightInd w:val="0"/>
              <w:snapToGrid w:val="0"/>
              <w:spacing w:line="240" w:lineRule="auto"/>
              <w:ind w:firstLine="0" w:firstLineChars="0"/>
              <w:jc w:val="center"/>
              <w:rPr>
                <w:kern w:val="0"/>
                <w:sz w:val="21"/>
                <w:szCs w:val="21"/>
              </w:rPr>
            </w:pPr>
            <w:r>
              <w:rPr>
                <w:kern w:val="0"/>
                <w:sz w:val="21"/>
                <w:szCs w:val="21"/>
              </w:rPr>
              <w:t>20亿元</w:t>
            </w:r>
          </w:p>
        </w:tc>
      </w:tr>
      <w:tr w14:paraId="3C67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vAlign w:val="center"/>
          </w:tcPr>
          <w:p w14:paraId="065CA23A">
            <w:pPr>
              <w:adjustRightInd w:val="0"/>
              <w:snapToGrid w:val="0"/>
              <w:spacing w:line="240" w:lineRule="auto"/>
              <w:ind w:firstLine="0" w:firstLineChars="0"/>
              <w:jc w:val="center"/>
              <w:rPr>
                <w:kern w:val="0"/>
                <w:sz w:val="21"/>
                <w:szCs w:val="21"/>
              </w:rPr>
            </w:pPr>
            <w:r>
              <w:rPr>
                <w:kern w:val="0"/>
                <w:sz w:val="21"/>
                <w:szCs w:val="21"/>
              </w:rPr>
              <w:t>备注：</w:t>
            </w:r>
            <w:r>
              <w:rPr>
                <w:rFonts w:hint="eastAsia"/>
                <w:kern w:val="0"/>
                <w:sz w:val="21"/>
                <w:szCs w:val="21"/>
                <w:lang w:eastAsia="zh-CN"/>
              </w:rPr>
              <w:t>战略性新兴产业</w:t>
            </w:r>
            <w:r>
              <w:rPr>
                <w:kern w:val="0"/>
                <w:sz w:val="21"/>
                <w:szCs w:val="21"/>
              </w:rPr>
              <w:t>分类参考《工业战略性新兴产业分类》（2024）</w:t>
            </w:r>
          </w:p>
        </w:tc>
      </w:tr>
    </w:tbl>
    <w:p w14:paraId="700EA91F">
      <w:pPr>
        <w:pStyle w:val="269"/>
        <w:ind w:firstLine="560"/>
      </w:pPr>
    </w:p>
    <w:p w14:paraId="1A2B5C9E">
      <w:pPr>
        <w:pStyle w:val="269"/>
        <w:ind w:firstLine="560"/>
      </w:pPr>
      <w:r>
        <w:rPr>
          <w:rFonts w:hint="eastAsia"/>
        </w:rPr>
        <w:t>5</w:t>
      </w:r>
      <w:r>
        <w:t>、重点项目</w:t>
      </w:r>
    </w:p>
    <w:p w14:paraId="2E4C0A0E">
      <w:pPr>
        <w:pStyle w:val="264"/>
      </w:pPr>
      <w:r>
        <w:t>表6.1-6 医疗器械装备制造产业重点项目</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
        <w:gridCol w:w="1096"/>
        <w:gridCol w:w="5196"/>
        <w:gridCol w:w="1765"/>
      </w:tblGrid>
      <w:tr w14:paraId="411C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8C34DFA">
            <w:pPr>
              <w:pStyle w:val="269"/>
              <w:spacing w:line="240" w:lineRule="auto"/>
              <w:ind w:firstLine="0" w:firstLineChars="0"/>
              <w:jc w:val="center"/>
              <w:rPr>
                <w:sz w:val="21"/>
                <w:szCs w:val="21"/>
              </w:rPr>
            </w:pPr>
            <w:r>
              <w:rPr>
                <w:sz w:val="21"/>
                <w:szCs w:val="21"/>
              </w:rPr>
              <w:t>序号</w:t>
            </w:r>
          </w:p>
        </w:tc>
        <w:tc>
          <w:tcPr>
            <w:tcW w:w="1096" w:type="dxa"/>
            <w:vAlign w:val="center"/>
          </w:tcPr>
          <w:p w14:paraId="1193D2A4">
            <w:pPr>
              <w:pStyle w:val="269"/>
              <w:spacing w:line="240" w:lineRule="auto"/>
              <w:ind w:firstLine="0" w:firstLineChars="0"/>
              <w:jc w:val="center"/>
              <w:rPr>
                <w:sz w:val="21"/>
                <w:szCs w:val="21"/>
              </w:rPr>
            </w:pPr>
            <w:r>
              <w:rPr>
                <w:sz w:val="21"/>
                <w:szCs w:val="21"/>
              </w:rPr>
              <w:t>项目</w:t>
            </w:r>
          </w:p>
        </w:tc>
        <w:tc>
          <w:tcPr>
            <w:tcW w:w="5196" w:type="dxa"/>
            <w:vAlign w:val="center"/>
          </w:tcPr>
          <w:p w14:paraId="4F8D414C">
            <w:pPr>
              <w:pStyle w:val="269"/>
              <w:spacing w:line="240" w:lineRule="auto"/>
              <w:ind w:firstLine="0" w:firstLineChars="0"/>
              <w:jc w:val="center"/>
              <w:rPr>
                <w:sz w:val="21"/>
                <w:szCs w:val="21"/>
              </w:rPr>
            </w:pPr>
            <w:r>
              <w:rPr>
                <w:sz w:val="21"/>
                <w:szCs w:val="21"/>
              </w:rPr>
              <w:t>建设内容</w:t>
            </w:r>
          </w:p>
        </w:tc>
        <w:tc>
          <w:tcPr>
            <w:tcW w:w="0" w:type="auto"/>
            <w:vAlign w:val="center"/>
          </w:tcPr>
          <w:p w14:paraId="630A6218">
            <w:pPr>
              <w:pStyle w:val="269"/>
              <w:spacing w:line="240" w:lineRule="auto"/>
              <w:ind w:firstLine="0" w:firstLineChars="0"/>
              <w:jc w:val="center"/>
              <w:rPr>
                <w:sz w:val="21"/>
                <w:szCs w:val="21"/>
              </w:rPr>
            </w:pPr>
            <w:r>
              <w:rPr>
                <w:sz w:val="21"/>
                <w:szCs w:val="21"/>
              </w:rPr>
              <w:t>经济效益</w:t>
            </w:r>
          </w:p>
        </w:tc>
      </w:tr>
      <w:tr w14:paraId="098A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320883F">
            <w:pPr>
              <w:pStyle w:val="269"/>
              <w:spacing w:line="240" w:lineRule="auto"/>
              <w:ind w:firstLine="0" w:firstLineChars="0"/>
              <w:jc w:val="center"/>
              <w:rPr>
                <w:sz w:val="21"/>
                <w:szCs w:val="21"/>
              </w:rPr>
            </w:pPr>
            <w:r>
              <w:rPr>
                <w:sz w:val="21"/>
                <w:szCs w:val="21"/>
              </w:rPr>
              <w:t>1</w:t>
            </w:r>
          </w:p>
        </w:tc>
        <w:tc>
          <w:tcPr>
            <w:tcW w:w="1096" w:type="dxa"/>
            <w:vAlign w:val="center"/>
          </w:tcPr>
          <w:p w14:paraId="5DFF2C85">
            <w:pPr>
              <w:pStyle w:val="269"/>
              <w:spacing w:line="240" w:lineRule="auto"/>
              <w:ind w:firstLine="0" w:firstLineChars="0"/>
              <w:jc w:val="center"/>
              <w:rPr>
                <w:bCs/>
                <w:sz w:val="21"/>
                <w:szCs w:val="21"/>
              </w:rPr>
            </w:pPr>
            <w:r>
              <w:rPr>
                <w:sz w:val="21"/>
                <w:szCs w:val="21"/>
              </w:rPr>
              <w:t>内蒙古名区咨询管理有限公司</w:t>
            </w:r>
            <w:r>
              <w:rPr>
                <w:bCs/>
                <w:sz w:val="21"/>
                <w:szCs w:val="21"/>
              </w:rPr>
              <w:t>医疗产业园项目</w:t>
            </w:r>
          </w:p>
        </w:tc>
        <w:tc>
          <w:tcPr>
            <w:tcW w:w="5196" w:type="dxa"/>
            <w:vAlign w:val="center"/>
          </w:tcPr>
          <w:p w14:paraId="38BF4333">
            <w:pPr>
              <w:pStyle w:val="269"/>
              <w:spacing w:line="240" w:lineRule="auto"/>
              <w:ind w:firstLine="0" w:firstLineChars="0"/>
              <w:jc w:val="center"/>
              <w:rPr>
                <w:sz w:val="21"/>
                <w:szCs w:val="21"/>
              </w:rPr>
            </w:pPr>
            <w:r>
              <w:rPr>
                <w:sz w:val="21"/>
                <w:szCs w:val="21"/>
              </w:rPr>
              <w:t xml:space="preserve">    该项目拟使用原菁华时间地块实施建设，总占地面积97亩，计划总投资5亿元，以内蒙古为中心打造“安全、有效”的呼吸系统相关疾病诊断、治疗、预防设备的上下游产品产业集群，建设健全医疗器械产品研发、生产、检测、物流等板块，计划首年引入生产型医疗器械企业7家，经营型企业20家，服务型企业4家及进行制氧机和净化器等医疗器械生产制造，打造成为国内医疗器械地标性产业生态基地。</w:t>
            </w:r>
          </w:p>
        </w:tc>
        <w:tc>
          <w:tcPr>
            <w:tcW w:w="0" w:type="auto"/>
            <w:vAlign w:val="center"/>
          </w:tcPr>
          <w:p w14:paraId="4DCE7131">
            <w:pPr>
              <w:pStyle w:val="269"/>
              <w:spacing w:line="240" w:lineRule="auto"/>
              <w:ind w:firstLine="0" w:firstLineChars="0"/>
              <w:jc w:val="center"/>
              <w:rPr>
                <w:sz w:val="21"/>
                <w:szCs w:val="21"/>
              </w:rPr>
            </w:pPr>
            <w:r>
              <w:rPr>
                <w:sz w:val="21"/>
                <w:szCs w:val="21"/>
              </w:rPr>
              <w:t>年缴税收800万元</w:t>
            </w:r>
          </w:p>
        </w:tc>
      </w:tr>
      <w:tr w14:paraId="150C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BF3CE41">
            <w:pPr>
              <w:pStyle w:val="269"/>
              <w:spacing w:line="240" w:lineRule="auto"/>
              <w:ind w:firstLine="0" w:firstLineChars="0"/>
              <w:jc w:val="center"/>
              <w:rPr>
                <w:sz w:val="21"/>
                <w:szCs w:val="21"/>
              </w:rPr>
            </w:pPr>
            <w:r>
              <w:rPr>
                <w:sz w:val="21"/>
                <w:szCs w:val="21"/>
              </w:rPr>
              <w:t>2</w:t>
            </w:r>
          </w:p>
        </w:tc>
        <w:tc>
          <w:tcPr>
            <w:tcW w:w="1096" w:type="dxa"/>
            <w:vAlign w:val="center"/>
          </w:tcPr>
          <w:p w14:paraId="54DD0463">
            <w:pPr>
              <w:pStyle w:val="269"/>
              <w:spacing w:line="240" w:lineRule="auto"/>
              <w:ind w:firstLine="0" w:firstLineChars="0"/>
              <w:jc w:val="center"/>
              <w:rPr>
                <w:sz w:val="21"/>
                <w:szCs w:val="21"/>
              </w:rPr>
            </w:pPr>
            <w:r>
              <w:rPr>
                <w:sz w:val="21"/>
                <w:szCs w:val="21"/>
              </w:rPr>
              <w:t>祥羽医药仓储物流基地</w:t>
            </w:r>
          </w:p>
        </w:tc>
        <w:tc>
          <w:tcPr>
            <w:tcW w:w="5196" w:type="dxa"/>
            <w:vAlign w:val="center"/>
          </w:tcPr>
          <w:p w14:paraId="38E001EF">
            <w:pPr>
              <w:pStyle w:val="269"/>
              <w:spacing w:line="240" w:lineRule="auto"/>
              <w:ind w:firstLine="0" w:firstLineChars="0"/>
              <w:jc w:val="center"/>
              <w:rPr>
                <w:sz w:val="21"/>
                <w:szCs w:val="21"/>
              </w:rPr>
            </w:pPr>
            <w:r>
              <w:rPr>
                <w:sz w:val="21"/>
                <w:szCs w:val="21"/>
              </w:rPr>
              <w:t>项目占地面积30亩，总建筑面积1.4万平方米，建设厂房1万平方米、办公楼4000平方米及附属设施。项目全部建成后，可仓储3200万吨药品。</w:t>
            </w:r>
          </w:p>
        </w:tc>
        <w:tc>
          <w:tcPr>
            <w:tcW w:w="0" w:type="auto"/>
            <w:vAlign w:val="center"/>
          </w:tcPr>
          <w:p w14:paraId="6B60CD0E">
            <w:pPr>
              <w:pStyle w:val="269"/>
              <w:spacing w:line="240" w:lineRule="auto"/>
              <w:ind w:firstLine="0" w:firstLineChars="0"/>
              <w:jc w:val="center"/>
              <w:rPr>
                <w:sz w:val="21"/>
                <w:szCs w:val="21"/>
              </w:rPr>
            </w:pPr>
            <w:r>
              <w:rPr>
                <w:sz w:val="21"/>
                <w:szCs w:val="21"/>
              </w:rPr>
              <w:t>预计年产值可达2亿元以上，年税收200万元以上，解决就业540人</w:t>
            </w:r>
          </w:p>
        </w:tc>
      </w:tr>
    </w:tbl>
    <w:p w14:paraId="43AE067A">
      <w:pPr>
        <w:pStyle w:val="97"/>
        <w:numPr>
          <w:ilvl w:val="2"/>
          <w:numId w:val="4"/>
        </w:numPr>
        <w:adjustRightInd w:val="0"/>
        <w:snapToGrid w:val="0"/>
        <w:spacing w:before="240" w:beforeLines="10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558" w:name="_Toc192675924"/>
      <w:r>
        <w:rPr>
          <w:rFonts w:ascii="Times New Roman" w:hAnsi="Times New Roman" w:eastAsia="黑体"/>
          <w:b/>
          <w:color w:val="000000" w:themeColor="text1"/>
          <w:sz w:val="30"/>
          <w:szCs w:val="30"/>
          <w14:textFill>
            <w14:solidFill>
              <w14:schemeClr w14:val="tx1"/>
            </w14:solidFill>
          </w14:textFill>
        </w:rPr>
        <w:t>高端装备制造</w:t>
      </w:r>
      <w:bookmarkEnd w:id="558"/>
    </w:p>
    <w:p w14:paraId="134DEFE3">
      <w:pPr>
        <w:pStyle w:val="269"/>
        <w:ind w:firstLine="560"/>
      </w:pPr>
      <w:r>
        <w:t>1、发展趋势</w:t>
      </w:r>
    </w:p>
    <w:p w14:paraId="60D89D3C">
      <w:pPr>
        <w:pStyle w:val="269"/>
        <w:ind w:firstLine="560"/>
      </w:pPr>
      <w:r>
        <w:t>高端制造产业是制造业价值链的高端环节，具有技术知识密集，附加值高、成长性好。关联性强，带动性大等特点如核心零部件和关键材料的制造。高端制造产业是一个国家核心竞争力的重要标志。其中，高端装备制造产业作为战略新兴产业之一，主要包括航空产业、卫星及应用产业、轨道交通装备业、海洋工程装备以及智能制造装备五个细分领域。在我国工业转型升级的攻坚时期，中国高端装备制造业迎来黄金增长将成为国民经济重要的支柱产业。</w:t>
      </w:r>
    </w:p>
    <w:p w14:paraId="4D08D1E4">
      <w:pPr>
        <w:pStyle w:val="269"/>
        <w:ind w:firstLine="560"/>
      </w:pPr>
      <w:r>
        <w:t>随着新一代信息技术的快速发展，信息技术和高端装备制造业深度融合发展，行业智能化、集成化和数字化，对研发、生产、销售等各个环节都深刻营销，也进一步推动高端装备制造业持续快速发展，信息技术的发展将重塑高端装备制造发展模式，为行业快速发展、快速突破提供了更多可能。</w:t>
      </w:r>
    </w:p>
    <w:p w14:paraId="47268C16">
      <w:pPr>
        <w:pStyle w:val="269"/>
        <w:ind w:firstLine="560"/>
      </w:pPr>
      <w:r>
        <w:t>2、发展思路</w:t>
      </w:r>
    </w:p>
    <w:p w14:paraId="572FB0E5">
      <w:pPr>
        <w:pStyle w:val="269"/>
        <w:ind w:firstLine="560"/>
      </w:pPr>
      <w:r>
        <w:t>聚力高端装备产业基础高级化和产业链现代化，以深化供给侧结构性改革为主线，以科技创新为根本动力，突出创新驱动、主体培育、数字化转型、强链延链、平台提升，着力构建千百亿级高端装备产业体系，打造全国重要的高端装备产业基地，成为全市制造业高质量发展的有力支撑。</w:t>
      </w:r>
    </w:p>
    <w:p w14:paraId="23706BB6">
      <w:pPr>
        <w:pStyle w:val="269"/>
        <w:ind w:firstLine="560"/>
      </w:pPr>
      <w:r>
        <w:t>装备制造产业发展把创新摆在发展的核心位置，以机械设备核心基础零部件为突破，发展智能关键基础零部件制造；围绕市场需求，培育智能制造装备发展，把装备制造产业培育成园区新的经济增长点。机械设备整机制造业及交通运输设备制造。</w:t>
      </w:r>
    </w:p>
    <w:p w14:paraId="448F0836">
      <w:pPr>
        <w:pStyle w:val="269"/>
        <w:ind w:firstLine="560"/>
      </w:pPr>
    </w:p>
    <w:p w14:paraId="2952AD7D">
      <w:pPr>
        <w:pStyle w:val="269"/>
        <w:ind w:firstLine="560"/>
        <w:rPr>
          <w:rFonts w:hint="eastAsia"/>
        </w:rPr>
      </w:pPr>
    </w:p>
    <w:p w14:paraId="6FEF1A37">
      <w:pPr>
        <w:pStyle w:val="269"/>
        <w:ind w:firstLine="560"/>
      </w:pPr>
      <w:r>
        <w:t>3、发展重点</w:t>
      </w:r>
    </w:p>
    <w:p w14:paraId="121F5F4B">
      <w:pPr>
        <w:pStyle w:val="269"/>
        <w:ind w:firstLine="560"/>
      </w:pPr>
      <w:r>
        <w:t>（1）工业机器人</w:t>
      </w:r>
    </w:p>
    <w:p w14:paraId="2600C6E0">
      <w:pPr>
        <w:pStyle w:val="269"/>
        <w:ind w:firstLine="560"/>
      </w:pPr>
      <w:r>
        <w:t>重点发展装配、焊接、切割、涂装、搬运、码垛、检测等工业机器人及机器人系统；应用于特殊环境下的安防、巡检、排爆、救援等特种机器人；发展高性能控制器、伺服电机、精密减速器、末端执行器、传感器、人机物交互系统（HCPS系统）等机器人关键核心部件。</w:t>
      </w:r>
    </w:p>
    <w:p w14:paraId="36A74656">
      <w:pPr>
        <w:pStyle w:val="269"/>
        <w:ind w:firstLine="560"/>
      </w:pPr>
      <w:r>
        <w:t>（2）轨道交通装备产业</w:t>
      </w:r>
    </w:p>
    <w:p w14:paraId="59CCF195">
      <w:pPr>
        <w:pStyle w:val="269"/>
        <w:ind w:firstLine="560"/>
      </w:pPr>
      <w:r>
        <w:t>未来园区轨道交通装备产业发展把握好全国铁路运输装备制造业发展机遇，在铁路高端装备制造产业，如高铁车组制造、混合动力机车、快速货运列车等；城市轨道装备制造，如城市轨道交通专用齿轮、变速箱制造等方面瞄准世界水平，积极引进大型轨道交通装备产业设备制造企业。</w:t>
      </w:r>
    </w:p>
    <w:p w14:paraId="22CA9EB8">
      <w:pPr>
        <w:pStyle w:val="269"/>
        <w:ind w:firstLine="0" w:firstLineChars="0"/>
      </w:pPr>
      <w:r>
        <w:object>
          <v:shape id="_x0000_i1029" o:spt="75" type="#_x0000_t75" style="height:220.1pt;width:440.15pt;" o:ole="t" filled="f" o:preferrelative="t" stroked="f" coordsize="21600,21600">
            <v:path/>
            <v:fill on="f" focussize="0,0"/>
            <v:stroke on="f" joinstyle="miter"/>
            <v:imagedata r:id="rId32" o:title=""/>
            <o:lock v:ext="edit" aspectratio="t"/>
            <w10:wrap type="none"/>
            <w10:anchorlock/>
          </v:shape>
          <o:OLEObject Type="Embed" ProgID="Visio.Drawing.11" ShapeID="_x0000_i1029" DrawAspect="Content" ObjectID="_1468075729" r:id="rId31">
            <o:LockedField>false</o:LockedField>
          </o:OLEObject>
        </w:object>
      </w:r>
    </w:p>
    <w:p w14:paraId="178899E1">
      <w:pPr>
        <w:pStyle w:val="269"/>
        <w:ind w:firstLine="0" w:firstLineChars="0"/>
        <w:jc w:val="center"/>
      </w:pPr>
      <w:r>
        <w:rPr>
          <w:rFonts w:hint="eastAsia"/>
        </w:rPr>
        <w:t>图6.1-5</w:t>
      </w:r>
      <w:r>
        <w:t xml:space="preserve"> </w:t>
      </w:r>
      <w:r>
        <w:rPr>
          <w:rFonts w:hint="eastAsia"/>
        </w:rPr>
        <w:t>高端装备制造产业链规划图</w:t>
      </w:r>
    </w:p>
    <w:p w14:paraId="5BD0772A">
      <w:pPr>
        <w:pStyle w:val="269"/>
        <w:ind w:firstLine="560"/>
      </w:pPr>
      <w:r>
        <w:rPr>
          <w:rFonts w:hint="eastAsia"/>
        </w:rPr>
        <w:t>4</w:t>
      </w:r>
      <w:r>
        <w:t>、产业重点方向规划</w:t>
      </w:r>
    </w:p>
    <w:p w14:paraId="66565C13">
      <w:pPr>
        <w:pStyle w:val="264"/>
      </w:pPr>
      <w:r>
        <w:t>表6.1-7 高端装备制造产业发展重点</w:t>
      </w:r>
    </w:p>
    <w:tbl>
      <w:tblPr>
        <w:tblStyle w:val="6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1"/>
        <w:gridCol w:w="2710"/>
        <w:gridCol w:w="1797"/>
        <w:gridCol w:w="1795"/>
      </w:tblGrid>
      <w:tr w14:paraId="1B63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2E6A5E21">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w:t>
            </w:r>
          </w:p>
        </w:tc>
        <w:tc>
          <w:tcPr>
            <w:tcW w:w="1590" w:type="pct"/>
            <w:vAlign w:val="center"/>
          </w:tcPr>
          <w:p w14:paraId="56ED8DC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重点方向</w:t>
            </w:r>
          </w:p>
        </w:tc>
        <w:tc>
          <w:tcPr>
            <w:tcW w:w="1054" w:type="pct"/>
            <w:vAlign w:val="center"/>
          </w:tcPr>
          <w:p w14:paraId="5197065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p w14:paraId="61ED9D9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c>
          <w:tcPr>
            <w:tcW w:w="1053" w:type="pct"/>
            <w:vAlign w:val="center"/>
          </w:tcPr>
          <w:p w14:paraId="0E7C441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w:t>
            </w:r>
          </w:p>
          <w:p w14:paraId="4D9E56B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r>
      <w:tr w14:paraId="2B55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vAlign w:val="center"/>
          </w:tcPr>
          <w:p w14:paraId="15D745D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智能制造装备产业</w:t>
            </w:r>
          </w:p>
        </w:tc>
        <w:tc>
          <w:tcPr>
            <w:tcW w:w="1590" w:type="pct"/>
            <w:vAlign w:val="center"/>
          </w:tcPr>
          <w:p w14:paraId="30AF859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工业机器人</w:t>
            </w:r>
          </w:p>
        </w:tc>
        <w:tc>
          <w:tcPr>
            <w:tcW w:w="1054" w:type="pct"/>
            <w:vMerge w:val="restart"/>
            <w:vAlign w:val="center"/>
          </w:tcPr>
          <w:p w14:paraId="06580AF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35亿元</w:t>
            </w:r>
          </w:p>
        </w:tc>
        <w:tc>
          <w:tcPr>
            <w:tcW w:w="1053" w:type="pct"/>
            <w:vMerge w:val="restart"/>
            <w:vAlign w:val="center"/>
          </w:tcPr>
          <w:p w14:paraId="6E5E9EE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50亿元</w:t>
            </w:r>
          </w:p>
        </w:tc>
      </w:tr>
      <w:tr w14:paraId="1F7A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tcBorders>
              <w:bottom w:val="single" w:color="auto" w:sz="4" w:space="0"/>
            </w:tcBorders>
            <w:vAlign w:val="center"/>
          </w:tcPr>
          <w:p w14:paraId="6117928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轨道交通装备产业</w:t>
            </w:r>
          </w:p>
        </w:tc>
        <w:tc>
          <w:tcPr>
            <w:tcW w:w="1590" w:type="pct"/>
            <w:tcBorders>
              <w:bottom w:val="single" w:color="auto" w:sz="4" w:space="0"/>
            </w:tcBorders>
            <w:vAlign w:val="center"/>
          </w:tcPr>
          <w:p w14:paraId="3B12BAC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铁路高端装备制造产业</w:t>
            </w:r>
          </w:p>
          <w:p w14:paraId="6BF3860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城市轨道装备</w:t>
            </w:r>
          </w:p>
        </w:tc>
        <w:tc>
          <w:tcPr>
            <w:tcW w:w="1054" w:type="pct"/>
            <w:vMerge w:val="continue"/>
            <w:tcBorders>
              <w:bottom w:val="single" w:color="auto" w:sz="4" w:space="0"/>
            </w:tcBorders>
            <w:vAlign w:val="center"/>
          </w:tcPr>
          <w:p w14:paraId="2AD8F6BC">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1053" w:type="pct"/>
            <w:vMerge w:val="continue"/>
            <w:tcBorders>
              <w:bottom w:val="single" w:color="auto" w:sz="4" w:space="0"/>
            </w:tcBorders>
            <w:vAlign w:val="center"/>
          </w:tcPr>
          <w:p w14:paraId="29D5D459">
            <w:pPr>
              <w:widowControl/>
              <w:spacing w:line="240" w:lineRule="auto"/>
              <w:ind w:firstLine="0" w:firstLineChars="0"/>
              <w:jc w:val="center"/>
              <w:rPr>
                <w:color w:val="000000" w:themeColor="text1"/>
                <w:kern w:val="0"/>
                <w:sz w:val="21"/>
                <w:szCs w:val="21"/>
                <w14:textFill>
                  <w14:solidFill>
                    <w14:schemeClr w14:val="tx1"/>
                  </w14:solidFill>
                </w14:textFill>
              </w:rPr>
            </w:pPr>
          </w:p>
        </w:tc>
      </w:tr>
      <w:tr w14:paraId="4CF7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bottom w:val="single" w:color="auto" w:sz="4" w:space="0"/>
            </w:tcBorders>
            <w:vAlign w:val="center"/>
          </w:tcPr>
          <w:p w14:paraId="4BDDAB8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备注：</w:t>
            </w: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分类参考《工业战略性新兴产业分类》（2024）</w:t>
            </w:r>
          </w:p>
        </w:tc>
      </w:tr>
      <w:tr w14:paraId="7A34E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nil"/>
              <w:bottom w:val="nil"/>
              <w:right w:val="nil"/>
            </w:tcBorders>
            <w:vAlign w:val="center"/>
          </w:tcPr>
          <w:p w14:paraId="4B46DEA3">
            <w:pPr>
              <w:widowControl/>
              <w:spacing w:line="240" w:lineRule="auto"/>
              <w:ind w:firstLine="0" w:firstLineChars="0"/>
              <w:rPr>
                <w:color w:val="000000" w:themeColor="text1"/>
                <w:kern w:val="0"/>
                <w:sz w:val="21"/>
                <w:szCs w:val="21"/>
                <w14:textFill>
                  <w14:solidFill>
                    <w14:schemeClr w14:val="tx1"/>
                  </w14:solidFill>
                </w14:textFill>
              </w:rPr>
            </w:pPr>
          </w:p>
        </w:tc>
      </w:tr>
    </w:tbl>
    <w:p w14:paraId="7F86C591">
      <w:pPr>
        <w:pStyle w:val="97"/>
        <w:numPr>
          <w:ilvl w:val="0"/>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559" w:name="_Toc156553681"/>
      <w:bookmarkEnd w:id="559"/>
      <w:bookmarkStart w:id="560" w:name="_Toc161132291"/>
      <w:bookmarkEnd w:id="560"/>
      <w:bookmarkStart w:id="561" w:name="_Toc186205282"/>
      <w:bookmarkEnd w:id="561"/>
      <w:bookmarkStart w:id="562" w:name="_Toc190952853"/>
      <w:bookmarkEnd w:id="562"/>
      <w:bookmarkStart w:id="563" w:name="_Toc161133131"/>
      <w:bookmarkEnd w:id="563"/>
      <w:bookmarkStart w:id="564" w:name="_Toc182320696"/>
      <w:bookmarkEnd w:id="564"/>
      <w:bookmarkStart w:id="565" w:name="_Toc190952302"/>
      <w:bookmarkEnd w:id="565"/>
      <w:bookmarkStart w:id="566" w:name="_Toc192675925"/>
      <w:bookmarkEnd w:id="566"/>
      <w:bookmarkStart w:id="567" w:name="_Toc159406759"/>
      <w:bookmarkEnd w:id="567"/>
      <w:bookmarkStart w:id="568" w:name="_Toc156553051"/>
      <w:bookmarkEnd w:id="568"/>
      <w:bookmarkStart w:id="569" w:name="_Toc162446331"/>
      <w:bookmarkEnd w:id="569"/>
    </w:p>
    <w:p w14:paraId="24EA6746">
      <w:pPr>
        <w:pStyle w:val="97"/>
        <w:numPr>
          <w:ilvl w:val="0"/>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570" w:name="_Toc161133132"/>
      <w:bookmarkEnd w:id="570"/>
      <w:bookmarkStart w:id="571" w:name="_Toc192675926"/>
      <w:bookmarkEnd w:id="571"/>
      <w:bookmarkStart w:id="572" w:name="_Toc182320697"/>
      <w:bookmarkEnd w:id="572"/>
      <w:bookmarkStart w:id="573" w:name="_Toc156553682"/>
      <w:bookmarkEnd w:id="573"/>
      <w:bookmarkStart w:id="574" w:name="_Toc190952854"/>
      <w:bookmarkEnd w:id="574"/>
      <w:bookmarkStart w:id="575" w:name="_Toc186205283"/>
      <w:bookmarkEnd w:id="575"/>
      <w:bookmarkStart w:id="576" w:name="_Toc162446332"/>
      <w:bookmarkEnd w:id="576"/>
      <w:bookmarkStart w:id="577" w:name="_Toc156553052"/>
      <w:bookmarkEnd w:id="577"/>
      <w:bookmarkStart w:id="578" w:name="_Toc190952303"/>
      <w:bookmarkEnd w:id="578"/>
      <w:bookmarkStart w:id="579" w:name="_Toc161132292"/>
      <w:bookmarkEnd w:id="579"/>
      <w:bookmarkStart w:id="580" w:name="_Toc159406760"/>
      <w:bookmarkEnd w:id="580"/>
    </w:p>
    <w:p w14:paraId="24027001">
      <w:pPr>
        <w:pStyle w:val="97"/>
        <w:numPr>
          <w:ilvl w:val="0"/>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581" w:name="_Toc182320698"/>
      <w:bookmarkEnd w:id="581"/>
      <w:bookmarkStart w:id="582" w:name="_Toc190952855"/>
      <w:bookmarkEnd w:id="582"/>
      <w:bookmarkStart w:id="583" w:name="_Toc161132293"/>
      <w:bookmarkEnd w:id="583"/>
      <w:bookmarkStart w:id="584" w:name="_Toc156553683"/>
      <w:bookmarkEnd w:id="584"/>
      <w:bookmarkStart w:id="585" w:name="_Toc156553053"/>
      <w:bookmarkEnd w:id="585"/>
      <w:bookmarkStart w:id="586" w:name="_Toc186205284"/>
      <w:bookmarkEnd w:id="586"/>
      <w:bookmarkStart w:id="587" w:name="_Toc159406761"/>
      <w:bookmarkEnd w:id="587"/>
      <w:bookmarkStart w:id="588" w:name="_Toc161133133"/>
      <w:bookmarkEnd w:id="588"/>
      <w:bookmarkStart w:id="589" w:name="_Toc190952304"/>
      <w:bookmarkEnd w:id="589"/>
      <w:bookmarkStart w:id="590" w:name="_Toc162446333"/>
      <w:bookmarkEnd w:id="590"/>
      <w:bookmarkStart w:id="591" w:name="_Toc192675927"/>
      <w:bookmarkEnd w:id="591"/>
    </w:p>
    <w:p w14:paraId="0DF281D8">
      <w:pPr>
        <w:pStyle w:val="97"/>
        <w:numPr>
          <w:ilvl w:val="0"/>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592" w:name="_Toc156553054"/>
      <w:bookmarkEnd w:id="592"/>
      <w:bookmarkStart w:id="593" w:name="_Toc156553684"/>
      <w:bookmarkEnd w:id="593"/>
      <w:bookmarkStart w:id="594" w:name="_Toc161132294"/>
      <w:bookmarkEnd w:id="594"/>
      <w:bookmarkStart w:id="595" w:name="_Toc159406762"/>
      <w:bookmarkEnd w:id="595"/>
      <w:bookmarkStart w:id="596" w:name="_Toc186205285"/>
      <w:bookmarkEnd w:id="596"/>
      <w:bookmarkStart w:id="597" w:name="_Toc190952305"/>
      <w:bookmarkEnd w:id="597"/>
      <w:bookmarkStart w:id="598" w:name="_Toc162446334"/>
      <w:bookmarkEnd w:id="598"/>
      <w:bookmarkStart w:id="599" w:name="_Toc190952856"/>
      <w:bookmarkEnd w:id="599"/>
      <w:bookmarkStart w:id="600" w:name="_Toc161133134"/>
      <w:bookmarkEnd w:id="600"/>
      <w:bookmarkStart w:id="601" w:name="_Toc182320699"/>
      <w:bookmarkEnd w:id="601"/>
      <w:bookmarkStart w:id="602" w:name="_Toc192675928"/>
      <w:bookmarkEnd w:id="602"/>
    </w:p>
    <w:p w14:paraId="76911593">
      <w:pPr>
        <w:pStyle w:val="97"/>
        <w:numPr>
          <w:ilvl w:val="0"/>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603" w:name="_Toc161133135"/>
      <w:bookmarkEnd w:id="603"/>
      <w:bookmarkStart w:id="604" w:name="_Toc190952306"/>
      <w:bookmarkEnd w:id="604"/>
      <w:bookmarkStart w:id="605" w:name="_Toc161132295"/>
      <w:bookmarkEnd w:id="605"/>
      <w:bookmarkStart w:id="606" w:name="_Toc156553685"/>
      <w:bookmarkEnd w:id="606"/>
      <w:bookmarkStart w:id="607" w:name="_Toc182320700"/>
      <w:bookmarkEnd w:id="607"/>
      <w:bookmarkStart w:id="608" w:name="_Toc192675929"/>
      <w:bookmarkEnd w:id="608"/>
      <w:bookmarkStart w:id="609" w:name="_Toc190952857"/>
      <w:bookmarkEnd w:id="609"/>
      <w:bookmarkStart w:id="610" w:name="_Toc186205286"/>
      <w:bookmarkEnd w:id="610"/>
      <w:bookmarkStart w:id="611" w:name="_Toc162446335"/>
      <w:bookmarkEnd w:id="611"/>
      <w:bookmarkStart w:id="612" w:name="_Toc156553055"/>
      <w:bookmarkEnd w:id="612"/>
      <w:bookmarkStart w:id="613" w:name="_Toc159406763"/>
      <w:bookmarkEnd w:id="613"/>
    </w:p>
    <w:p w14:paraId="0CF0CFD1">
      <w:pPr>
        <w:pStyle w:val="97"/>
        <w:numPr>
          <w:ilvl w:val="0"/>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614" w:name="_Toc161133136"/>
      <w:bookmarkEnd w:id="614"/>
      <w:bookmarkStart w:id="615" w:name="_Toc161132296"/>
      <w:bookmarkEnd w:id="615"/>
      <w:bookmarkStart w:id="616" w:name="_Toc162446336"/>
      <w:bookmarkEnd w:id="616"/>
      <w:bookmarkStart w:id="617" w:name="_Toc190952307"/>
      <w:bookmarkEnd w:id="617"/>
      <w:bookmarkStart w:id="618" w:name="_Toc159406764"/>
      <w:bookmarkEnd w:id="618"/>
      <w:bookmarkStart w:id="619" w:name="_Toc156553686"/>
      <w:bookmarkEnd w:id="619"/>
      <w:bookmarkStart w:id="620" w:name="_Toc156553056"/>
      <w:bookmarkEnd w:id="620"/>
      <w:bookmarkStart w:id="621" w:name="_Toc186205287"/>
      <w:bookmarkEnd w:id="621"/>
      <w:bookmarkStart w:id="622" w:name="_Toc192675930"/>
      <w:bookmarkEnd w:id="622"/>
      <w:bookmarkStart w:id="623" w:name="_Toc190952858"/>
      <w:bookmarkEnd w:id="623"/>
      <w:bookmarkStart w:id="624" w:name="_Toc182320701"/>
      <w:bookmarkEnd w:id="624"/>
    </w:p>
    <w:p w14:paraId="5BE39FBC">
      <w:pPr>
        <w:pStyle w:val="97"/>
        <w:numPr>
          <w:ilvl w:val="1"/>
          <w:numId w:val="6"/>
        </w:numPr>
        <w:adjustRightInd w:val="0"/>
        <w:snapToGrid w:val="0"/>
        <w:spacing w:before="240" w:beforeLines="100"/>
        <w:ind w:firstLineChars="0"/>
        <w:jc w:val="left"/>
        <w:outlineLvl w:val="1"/>
        <w:rPr>
          <w:rFonts w:ascii="Times New Roman" w:hAnsi="Times New Roman" w:eastAsia="黑体"/>
          <w:b/>
          <w:vanish/>
          <w:sz w:val="30"/>
          <w:szCs w:val="30"/>
        </w:rPr>
      </w:pPr>
      <w:bookmarkStart w:id="625" w:name="_Toc186205288"/>
      <w:bookmarkEnd w:id="625"/>
      <w:bookmarkStart w:id="626" w:name="_Toc161133137"/>
      <w:bookmarkEnd w:id="626"/>
      <w:bookmarkStart w:id="627" w:name="_Toc156553687"/>
      <w:bookmarkEnd w:id="627"/>
      <w:bookmarkStart w:id="628" w:name="_Toc190952308"/>
      <w:bookmarkEnd w:id="628"/>
      <w:bookmarkStart w:id="629" w:name="_Toc161132297"/>
      <w:bookmarkEnd w:id="629"/>
      <w:bookmarkStart w:id="630" w:name="_Toc190952859"/>
      <w:bookmarkEnd w:id="630"/>
      <w:bookmarkStart w:id="631" w:name="_Toc162446337"/>
      <w:bookmarkEnd w:id="631"/>
      <w:bookmarkStart w:id="632" w:name="_Toc156553057"/>
      <w:bookmarkEnd w:id="632"/>
      <w:bookmarkStart w:id="633" w:name="_Toc182320702"/>
      <w:bookmarkEnd w:id="633"/>
      <w:bookmarkStart w:id="634" w:name="_Toc192675931"/>
      <w:bookmarkEnd w:id="634"/>
      <w:bookmarkStart w:id="635" w:name="_Toc159406765"/>
      <w:bookmarkEnd w:id="635"/>
    </w:p>
    <w:p w14:paraId="7F5E2400">
      <w:pPr>
        <w:pStyle w:val="97"/>
        <w:numPr>
          <w:ilvl w:val="1"/>
          <w:numId w:val="6"/>
        </w:numPr>
        <w:adjustRightInd w:val="0"/>
        <w:snapToGrid w:val="0"/>
        <w:spacing w:before="240" w:beforeLines="100"/>
        <w:ind w:firstLineChars="0"/>
        <w:jc w:val="left"/>
        <w:outlineLvl w:val="1"/>
        <w:rPr>
          <w:rFonts w:ascii="Times New Roman" w:hAnsi="Times New Roman" w:eastAsia="黑体"/>
          <w:b/>
          <w:sz w:val="30"/>
          <w:szCs w:val="30"/>
        </w:rPr>
      </w:pPr>
      <w:bookmarkStart w:id="636" w:name="_Toc192675932"/>
      <w:r>
        <w:rPr>
          <w:rFonts w:ascii="Times New Roman" w:hAnsi="Times New Roman" w:eastAsia="黑体"/>
          <w:b/>
          <w:sz w:val="30"/>
          <w:szCs w:val="30"/>
        </w:rPr>
        <w:t>新材料产业</w:t>
      </w:r>
      <w:bookmarkEnd w:id="636"/>
    </w:p>
    <w:p w14:paraId="25B93911">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37" w:name="_Toc192675933"/>
      <w:r>
        <w:rPr>
          <w:rFonts w:ascii="Times New Roman" w:hAnsi="Times New Roman" w:eastAsia="黑体"/>
          <w:b/>
          <w:sz w:val="30"/>
          <w:szCs w:val="30"/>
        </w:rPr>
        <w:t>发展趋势</w:t>
      </w:r>
      <w:bookmarkEnd w:id="637"/>
    </w:p>
    <w:p w14:paraId="119F18D9">
      <w:pPr>
        <w:pStyle w:val="269"/>
        <w:ind w:firstLine="560"/>
      </w:pPr>
      <w:r>
        <w:t>新材料是指新近发展的或正在研发的、性能超群的一些材料，具有比传统材料更为优异的性能。新材料作为国民经济先导性产业和高端制造及国防工业等的关键保障，是各国战略竞争的焦点。“一代材料、一代产业”，从材料的应用历程可以看出，每一次生产力的发展都伴随着材料的进步。新材料的发现、发明和应用推广与技术革命和产业变革密不可分。</w:t>
      </w:r>
    </w:p>
    <w:p w14:paraId="3E61F015">
      <w:pPr>
        <w:pStyle w:val="269"/>
        <w:ind w:firstLine="560"/>
      </w:pPr>
      <w:r>
        <w:t>新材料产业体系初步形成。我国新材料研发和应用发端于国防科技工业领域，经过多年发展，新材料在国民经济各领域的应用不断扩大，初步形成了包括研发、设计、生产和应用，品种门类较为齐全的产业体系。</w:t>
      </w:r>
    </w:p>
    <w:p w14:paraId="350C9412">
      <w:pPr>
        <w:pStyle w:val="269"/>
        <w:ind w:firstLine="560"/>
      </w:pPr>
      <w:r>
        <w:t>新材料产业规模不断壮大。我国新材料产业发展迅速，其中先进储能材料、光伏材料、高性能纤维及其复合材料等产能居世界前列。</w:t>
      </w:r>
    </w:p>
    <w:p w14:paraId="0767E93F">
      <w:pPr>
        <w:pStyle w:val="269"/>
        <w:ind w:firstLine="560"/>
      </w:pPr>
      <w:r>
        <w:t>“十四五”将是全面建设小康社会的关键时期，是加快转变经济发展方式的攻坚时期，经济结构战略性调整为新材料产业提供了重要发展机遇。一方面，加快培育和发展节能环保、新一代信息技术、高端装备制造、新能源和新能源汽车等战略性新兴产业，实施国民经济和国防建设重大工程，需要新材料产业提供支撑和保障，为新材料产业发展提供了广阔市场空间。另一方面，我国原材料工业规模巨大，部分行业产能过剩，资源、能源、环境等约束日益强化，迫切需要大力发展新材料产业，加快推进材料工业转型升级，培育新的增长点。</w:t>
      </w:r>
    </w:p>
    <w:p w14:paraId="544DC4C1">
      <w:pPr>
        <w:pStyle w:val="269"/>
        <w:ind w:firstLine="560"/>
        <w:rPr>
          <w:rFonts w:hint="eastAsia"/>
        </w:rPr>
      </w:pPr>
    </w:p>
    <w:p w14:paraId="38522828">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38" w:name="_Toc192675934"/>
      <w:r>
        <w:rPr>
          <w:rFonts w:ascii="Times New Roman" w:hAnsi="Times New Roman" w:eastAsia="黑体"/>
          <w:b/>
          <w:sz w:val="30"/>
          <w:szCs w:val="30"/>
        </w:rPr>
        <w:t>产业基础</w:t>
      </w:r>
      <w:bookmarkEnd w:id="638"/>
    </w:p>
    <w:p w14:paraId="3AD20AE8">
      <w:pPr>
        <w:pStyle w:val="269"/>
        <w:ind w:firstLine="560"/>
      </w:pPr>
      <w:r>
        <w:t>目前，园区内投产的新材料项目有：栢特 800 吨碳碳复合材料、晶源新材1000 吨碳碳复合材料、晶旭 100 吨碳碳产品，北方嘉瑞 2000 吨超高分子量聚乙烯膜等，园区新材料产业已初具规模。</w:t>
      </w:r>
    </w:p>
    <w:p w14:paraId="10208022">
      <w:pPr>
        <w:pStyle w:val="269"/>
        <w:ind w:firstLine="560"/>
        <w:rPr>
          <w:szCs w:val="28"/>
        </w:rPr>
      </w:pPr>
      <w:r>
        <w:t>同时，包头市布局在“十四五“期间打造在全国具有重要影响力的新型材料产业基地，这一布局，对园区新材料产业的发展具有重大推动作用。</w:t>
      </w:r>
    </w:p>
    <w:p w14:paraId="2AE7A8FF">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39" w:name="_Toc192675935"/>
      <w:r>
        <w:rPr>
          <w:rFonts w:ascii="Times New Roman" w:hAnsi="Times New Roman" w:eastAsia="黑体"/>
          <w:b/>
          <w:sz w:val="30"/>
          <w:szCs w:val="30"/>
        </w:rPr>
        <w:t>发展思路</w:t>
      </w:r>
      <w:bookmarkEnd w:id="639"/>
    </w:p>
    <w:p w14:paraId="72441075">
      <w:pPr>
        <w:pStyle w:val="269"/>
        <w:ind w:firstLine="560"/>
      </w:pPr>
      <w:r>
        <w:t>加快建立健全有利于推动新材料产业发展的招商引资政策，制定新材料产业发展指导目录和投资指南，完善产业链、创新链、资金链。推动优势骨干企业实施强强联合，提高战略性新兴产业集中度，加快培育具有竞争力的产业联盟。</w:t>
      </w:r>
    </w:p>
    <w:p w14:paraId="353E01A4">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40" w:name="_Toc192675936"/>
      <w:r>
        <w:rPr>
          <w:rFonts w:ascii="Times New Roman" w:hAnsi="Times New Roman" w:eastAsia="黑体"/>
          <w:b/>
          <w:sz w:val="30"/>
          <w:szCs w:val="30"/>
        </w:rPr>
        <w:t>发展重点</w:t>
      </w:r>
      <w:bookmarkEnd w:id="640"/>
    </w:p>
    <w:p w14:paraId="420F4995">
      <w:pPr>
        <w:pStyle w:val="269"/>
        <w:ind w:firstLine="560"/>
      </w:pPr>
      <w:r>
        <w:t>坚持需求牵引和战略导向，推进材料先行、产用结合，以满足传统产业转型升级、战略性新兴产业发展和重大技术装备急需为主攻方向，依托全市资源优势与新材料产业基础，重点发展先进无机非金属材料、新型建筑材料、高性能纤维及制品和复合材料、前沿新材料等，使新材料产业成为园区新的经济增长极、全国重要的新材料产业基地。</w:t>
      </w:r>
    </w:p>
    <w:p w14:paraId="397131D9">
      <w:pPr>
        <w:pStyle w:val="269"/>
        <w:ind w:firstLine="560"/>
      </w:pPr>
      <w:bookmarkStart w:id="641" w:name="_Toc134812754"/>
      <w:bookmarkStart w:id="642" w:name="_Toc134813390"/>
      <w:bookmarkStart w:id="643" w:name="_Toc132821450"/>
      <w:bookmarkStart w:id="644" w:name="_Toc134813116"/>
      <w:bookmarkStart w:id="645" w:name="_Toc134813253"/>
      <w:r>
        <w:t>（1）先进无机非金属材料</w:t>
      </w:r>
    </w:p>
    <w:p w14:paraId="4F8ECDA4">
      <w:pPr>
        <w:pStyle w:val="269"/>
        <w:ind w:firstLine="560"/>
      </w:pPr>
      <w:r>
        <w:t>先进无机非金属材料是指近年来研发出来的一类具有新结构、新性能和新应用的无机非金属材料。这些材料具有较高的硬度、高温强度、耐腐蚀性等优异性能。聚焦特征玻璃、新型陶瓷、特种水泥等领域，积极发展耐高温微晶玻璃，超白太阳能压延玻璃、节能环保建筑陶瓷、紧密陶瓷、特种水泥、隔热保温节能材料、碳材料等重点项目。</w:t>
      </w:r>
    </w:p>
    <w:p w14:paraId="1CB67F88">
      <w:pPr>
        <w:pStyle w:val="269"/>
        <w:ind w:firstLine="560"/>
      </w:pPr>
      <w:r>
        <w:t>（2）高性能纤维及复合材料</w:t>
      </w:r>
      <w:bookmarkEnd w:id="641"/>
      <w:bookmarkEnd w:id="642"/>
      <w:bookmarkEnd w:id="643"/>
      <w:bookmarkEnd w:id="644"/>
      <w:bookmarkEnd w:id="645"/>
    </w:p>
    <w:p w14:paraId="4EFB86EC">
      <w:pPr>
        <w:pStyle w:val="269"/>
        <w:ind w:firstLine="560"/>
      </w:pPr>
      <w:r>
        <w:t>​ 高性能纤维及复合材料产业是指利用高性能纤维材料和复合材料进行制造和应用的产业。这一产业具有许多优势，包括高强度、轻量化、耐腐蚀、耐磨损等特点，广泛应用于航空航天、汽车、船舶、建筑、体育用品、防弹材料等领域。高性能纤维包括碳纤维、玻璃纤维、芳纶纤维、高性能聚合物纤维等，具有优异的力学性能和热学性能。复合材料是指将纤维与基体材料（如树脂、金属等）结合而成的材料，具有优异的强度、刚度和耐久性。</w:t>
      </w:r>
    </w:p>
    <w:p w14:paraId="6611BA77">
      <w:pPr>
        <w:pStyle w:val="269"/>
        <w:ind w:firstLine="560"/>
      </w:pPr>
      <w:r>
        <w:t>基于高性能纤维及复合材料具有高强度、轻量化、耐腐蚀、耐磨损等特点，布局发展碳纤维、碳基材料、玻璃纤维、芳纶纤维、高性能聚合物纤维等产业，园区可促使高性能纤维及复合材料产业应与装备制造产业进行产业链延伸，建立紧密的合作关系，共同推动产业的发展。</w:t>
      </w:r>
    </w:p>
    <w:p w14:paraId="39022E2C">
      <w:pPr>
        <w:pStyle w:val="269"/>
        <w:ind w:firstLine="560"/>
      </w:pPr>
      <w:r>
        <w:t>（3）前沿新材料</w:t>
      </w:r>
    </w:p>
    <w:p w14:paraId="4327E87C">
      <w:pPr>
        <w:pStyle w:val="269"/>
        <w:ind w:firstLine="560"/>
      </w:pPr>
      <w:r>
        <w:t>前沿新材料是在材料科学和工程领域中具有创新性和前瞻性的材料，具有独特的性能和潜在的应用前景。主要包括3D打印用材料、超导材料、智能仿生与超材料、纳米材料（如石墨烯）等。前沿材料代表新材料产业发展的方向与趋势，具有先导性、引领性和颠覆性，是构建新的增长引擎的重要切入点。前沿新材料对高科技产业的先导和基础作用日益突出，有力地支撑了新一代信息技术、高端装备制造业等战略性新兴产业的快速高质发展。</w:t>
      </w:r>
    </w:p>
    <w:p w14:paraId="5FB78572">
      <w:pPr>
        <w:pStyle w:val="269"/>
        <w:ind w:firstLine="560"/>
      </w:pPr>
      <w:r>
        <w:t>（4）新型建筑材料</w:t>
      </w:r>
    </w:p>
    <w:p w14:paraId="1A55B929">
      <w:pPr>
        <w:pStyle w:val="269"/>
        <w:ind w:firstLine="560"/>
      </w:pPr>
      <w:r>
        <w:t>围绕建筑设计生产工业化、施工组合装配化，重点发展高强、轻质、绿色、保温、节能、防火、隔音、抗震、防水等功能融合的新型墙体材料。</w:t>
      </w:r>
    </w:p>
    <w:p w14:paraId="51C678BA">
      <w:pPr>
        <w:pStyle w:val="269"/>
        <w:ind w:firstLine="560"/>
      </w:pPr>
    </w:p>
    <w:p w14:paraId="1BA50FAE">
      <w:pPr>
        <w:pStyle w:val="269"/>
        <w:ind w:firstLine="560"/>
        <w:rPr>
          <w:rFonts w:hint="eastAsia"/>
        </w:rPr>
      </w:pPr>
    </w:p>
    <w:p w14:paraId="28FC9AF1">
      <w:pPr>
        <w:pStyle w:val="269"/>
        <w:ind w:firstLine="560"/>
      </w:pPr>
      <w:r>
        <w:t>（</w:t>
      </w:r>
      <w:r>
        <w:rPr>
          <w:rFonts w:hint="eastAsia"/>
        </w:rPr>
        <w:t>5</w:t>
      </w:r>
      <w:r>
        <w:t>）其他新材料</w:t>
      </w:r>
    </w:p>
    <w:p w14:paraId="5044F2E1">
      <w:pPr>
        <w:pStyle w:val="269"/>
        <w:ind w:firstLine="560"/>
      </w:pPr>
      <w:r>
        <w:t>在以重点发展先进无机非金属材料、新型建筑材料、高性能纤维及制品和复合材料、前沿新材料基础上，适度发展以水处理用膜、电池膜、光伏用膜为主的高性能膜材料、高性能丝绳制品、电子浆料等新材产业，以完善园区新材料产业。</w:t>
      </w:r>
    </w:p>
    <w:p w14:paraId="6C05E219">
      <w:pPr>
        <w:pStyle w:val="269"/>
        <w:ind w:firstLine="0" w:firstLineChars="0"/>
        <w:jc w:val="center"/>
      </w:pPr>
      <w:r>
        <w:object>
          <v:shape id="_x0000_i1030" o:spt="75" type="#_x0000_t75" style="height:288.7pt;width:433.35pt;" o:ole="t" filled="f" o:preferrelative="t" stroked="f" coordsize="21600,21600">
            <v:path/>
            <v:fill on="f" focussize="0,0"/>
            <v:stroke on="f" joinstyle="miter"/>
            <v:imagedata r:id="rId34" o:title=""/>
            <o:lock v:ext="edit" aspectratio="t"/>
            <w10:wrap type="none"/>
            <w10:anchorlock/>
          </v:shape>
          <o:OLEObject Type="Embed" ProgID="Visio.Drawing.11" ShapeID="_x0000_i1030" DrawAspect="Content" ObjectID="_1468075730" r:id="rId33">
            <o:LockedField>false</o:LockedField>
          </o:OLEObject>
        </w:object>
      </w:r>
    </w:p>
    <w:p w14:paraId="0CD052AA">
      <w:pPr>
        <w:pStyle w:val="269"/>
        <w:ind w:firstLine="0" w:firstLineChars="0"/>
        <w:jc w:val="center"/>
      </w:pPr>
      <w:r>
        <w:rPr>
          <w:rFonts w:hint="eastAsia"/>
        </w:rPr>
        <w:t>图6.2-1</w:t>
      </w:r>
      <w:r>
        <w:t xml:space="preserve"> </w:t>
      </w:r>
      <w:r>
        <w:rPr>
          <w:rFonts w:hint="eastAsia"/>
        </w:rPr>
        <w:t>新材料产业链规划图</w:t>
      </w:r>
    </w:p>
    <w:p w14:paraId="0CABB71A">
      <w:pPr>
        <w:pStyle w:val="264"/>
      </w:pPr>
      <w:r>
        <w:t>表6.2-1 新材料产业发展重点</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1"/>
        <w:gridCol w:w="4332"/>
        <w:gridCol w:w="1155"/>
        <w:gridCol w:w="1155"/>
      </w:tblGrid>
      <w:tr w14:paraId="4D63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FA85C55">
            <w:pPr>
              <w:widowControl/>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w:t>
            </w:r>
          </w:p>
        </w:tc>
        <w:tc>
          <w:tcPr>
            <w:tcW w:w="0" w:type="auto"/>
            <w:vAlign w:val="center"/>
          </w:tcPr>
          <w:p w14:paraId="0D5C0C77">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重点方向</w:t>
            </w:r>
          </w:p>
        </w:tc>
        <w:tc>
          <w:tcPr>
            <w:tcW w:w="0" w:type="auto"/>
            <w:vAlign w:val="center"/>
          </w:tcPr>
          <w:p w14:paraId="3D162A49">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p w14:paraId="7DEBB203">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c>
          <w:tcPr>
            <w:tcW w:w="0" w:type="auto"/>
            <w:vAlign w:val="center"/>
          </w:tcPr>
          <w:p w14:paraId="4D0E410B">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w:t>
            </w:r>
          </w:p>
          <w:p w14:paraId="220211CF">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r>
      <w:tr w14:paraId="1D83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32B333D">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先进无机非金属材料</w:t>
            </w:r>
          </w:p>
        </w:tc>
        <w:tc>
          <w:tcPr>
            <w:tcW w:w="0" w:type="auto"/>
            <w:vAlign w:val="center"/>
          </w:tcPr>
          <w:p w14:paraId="66D93C2B">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特种玻璃、技术玻璃制品、特种陶瓷、人工晶体</w:t>
            </w:r>
          </w:p>
        </w:tc>
        <w:tc>
          <w:tcPr>
            <w:tcW w:w="0" w:type="auto"/>
          </w:tcPr>
          <w:p w14:paraId="5EC2D5D8">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1万吨</w:t>
            </w:r>
          </w:p>
        </w:tc>
        <w:tc>
          <w:tcPr>
            <w:tcW w:w="0" w:type="auto"/>
          </w:tcPr>
          <w:p w14:paraId="73DB27E0">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1万吨</w:t>
            </w:r>
          </w:p>
        </w:tc>
      </w:tr>
      <w:tr w14:paraId="2BA6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20107F8">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高性能纤维及制品和复合材料</w:t>
            </w:r>
          </w:p>
        </w:tc>
        <w:tc>
          <w:tcPr>
            <w:tcW w:w="0" w:type="auto"/>
            <w:vAlign w:val="center"/>
          </w:tcPr>
          <w:p w14:paraId="434F5FFF">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高性能纤维及制品、石墨纤维、陶瓷纤维及制品、高性能纤维复合材料</w:t>
            </w:r>
          </w:p>
        </w:tc>
        <w:tc>
          <w:tcPr>
            <w:tcW w:w="0" w:type="auto"/>
          </w:tcPr>
          <w:p w14:paraId="37A7065B">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5万吨</w:t>
            </w:r>
          </w:p>
        </w:tc>
        <w:tc>
          <w:tcPr>
            <w:tcW w:w="0" w:type="auto"/>
          </w:tcPr>
          <w:p w14:paraId="6A9FF0C5">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5万吨</w:t>
            </w:r>
          </w:p>
        </w:tc>
      </w:tr>
      <w:tr w14:paraId="0AB6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0" w:type="auto"/>
            <w:vAlign w:val="center"/>
          </w:tcPr>
          <w:p w14:paraId="3EC7C930">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前沿新材料</w:t>
            </w:r>
          </w:p>
        </w:tc>
        <w:tc>
          <w:tcPr>
            <w:tcW w:w="0" w:type="auto"/>
            <w:vAlign w:val="center"/>
          </w:tcPr>
          <w:p w14:paraId="56231EB2">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3D打印用材料、超导材料、智能仿生与超材料、纳米材料（石墨烯等）等</w:t>
            </w:r>
          </w:p>
        </w:tc>
        <w:tc>
          <w:tcPr>
            <w:tcW w:w="0" w:type="auto"/>
          </w:tcPr>
          <w:p w14:paraId="4F99BE04">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2万吨</w:t>
            </w:r>
          </w:p>
        </w:tc>
        <w:tc>
          <w:tcPr>
            <w:tcW w:w="0" w:type="auto"/>
          </w:tcPr>
          <w:p w14:paraId="7E905A60">
            <w:pPr>
              <w:widowControl/>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2万吨</w:t>
            </w:r>
          </w:p>
        </w:tc>
      </w:tr>
      <w:tr w14:paraId="6F71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4"/>
            <w:vAlign w:val="center"/>
          </w:tcPr>
          <w:p w14:paraId="195953F7">
            <w:pPr>
              <w:widowControl/>
              <w:ind w:firstLine="0" w:firstLineChars="0"/>
              <w:jc w:val="center"/>
              <w:rPr>
                <w:rFonts w:hint="eastAsia"/>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备注：</w:t>
            </w: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分类参考《工业战略性新兴产业分类》（2024）</w:t>
            </w:r>
          </w:p>
        </w:tc>
      </w:tr>
    </w:tbl>
    <w:p w14:paraId="362C5CDC">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46" w:name="_Toc192675937"/>
      <w:r>
        <w:rPr>
          <w:rFonts w:ascii="Times New Roman" w:hAnsi="Times New Roman" w:eastAsia="黑体"/>
          <w:b/>
          <w:sz w:val="30"/>
          <w:szCs w:val="30"/>
        </w:rPr>
        <w:t>重点项目</w:t>
      </w:r>
      <w:bookmarkEnd w:id="646"/>
    </w:p>
    <w:p w14:paraId="7DD4C60E">
      <w:pPr>
        <w:pStyle w:val="264"/>
      </w:pPr>
      <w:r>
        <w:t>表6.2-2 新材料产业重点项目</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1586"/>
        <w:gridCol w:w="3955"/>
        <w:gridCol w:w="2496"/>
      </w:tblGrid>
      <w:tr w14:paraId="0F77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63E1F5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序号</w:t>
            </w:r>
          </w:p>
        </w:tc>
        <w:tc>
          <w:tcPr>
            <w:tcW w:w="0" w:type="auto"/>
            <w:vAlign w:val="center"/>
          </w:tcPr>
          <w:p w14:paraId="40BBC43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项目</w:t>
            </w:r>
          </w:p>
        </w:tc>
        <w:tc>
          <w:tcPr>
            <w:tcW w:w="3955" w:type="dxa"/>
            <w:vAlign w:val="center"/>
          </w:tcPr>
          <w:p w14:paraId="6D5A941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建设内容</w:t>
            </w:r>
          </w:p>
        </w:tc>
        <w:tc>
          <w:tcPr>
            <w:tcW w:w="2496" w:type="dxa"/>
            <w:vAlign w:val="center"/>
          </w:tcPr>
          <w:p w14:paraId="32B801C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经济效益</w:t>
            </w:r>
          </w:p>
        </w:tc>
      </w:tr>
      <w:tr w14:paraId="0C52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892E22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0" w:type="auto"/>
            <w:vAlign w:val="center"/>
          </w:tcPr>
          <w:p w14:paraId="5A7628E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孚韦聚丙烯高分子材料项目</w:t>
            </w:r>
          </w:p>
        </w:tc>
        <w:tc>
          <w:tcPr>
            <w:tcW w:w="3955" w:type="dxa"/>
            <w:vAlign w:val="center"/>
          </w:tcPr>
          <w:p w14:paraId="0BDC71A7">
            <w:pPr>
              <w:widowControl/>
              <w:spacing w:line="240" w:lineRule="auto"/>
              <w:ind w:firstLine="0" w:firstLineChars="0"/>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一期厂房2000平米、办公楼1000平米，拟购入3000万设备，预计可实现年销售收入5000万元，利税162万元，解决就业50人；二期厂房建设5000平米，预计可实现年销售收入8000万元，利税260万元，解决就业100人；三期厂房建设10000平米。</w:t>
            </w:r>
          </w:p>
        </w:tc>
        <w:tc>
          <w:tcPr>
            <w:tcW w:w="2496" w:type="dxa"/>
            <w:vAlign w:val="center"/>
          </w:tcPr>
          <w:p w14:paraId="680CA96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预计可实现年销售收入1亿元，年税收350万元，解决就业150人</w:t>
            </w:r>
          </w:p>
        </w:tc>
      </w:tr>
      <w:tr w14:paraId="64FF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D11324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0" w:type="auto"/>
            <w:vAlign w:val="center"/>
          </w:tcPr>
          <w:p w14:paraId="456C2B5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汉思碳材料项目</w:t>
            </w:r>
          </w:p>
        </w:tc>
        <w:tc>
          <w:tcPr>
            <w:tcW w:w="3955" w:type="dxa"/>
            <w:vAlign w:val="center"/>
          </w:tcPr>
          <w:p w14:paraId="3C7F46CE">
            <w:pPr>
              <w:widowControl/>
              <w:spacing w:line="240" w:lineRule="auto"/>
              <w:ind w:firstLine="0" w:firstLineChars="0"/>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主要生产单晶炉碳/碳材料坩埚。项目全部建成后，将具备年产单晶炉碳/碳材料坩埚1100件的生产能力。</w:t>
            </w:r>
          </w:p>
        </w:tc>
        <w:tc>
          <w:tcPr>
            <w:tcW w:w="2496" w:type="dxa"/>
            <w:vAlign w:val="center"/>
          </w:tcPr>
          <w:p w14:paraId="3863C35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预计年产值可达5000万元，年税收500万元，解决就业20人</w:t>
            </w:r>
          </w:p>
        </w:tc>
      </w:tr>
      <w:tr w14:paraId="0F60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041880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w:t>
            </w:r>
          </w:p>
        </w:tc>
        <w:tc>
          <w:tcPr>
            <w:tcW w:w="0" w:type="auto"/>
            <w:vAlign w:val="center"/>
          </w:tcPr>
          <w:p w14:paraId="46E69A7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栢特高性能炭/炭复合材料及相关产品生产项目</w:t>
            </w:r>
          </w:p>
        </w:tc>
        <w:tc>
          <w:tcPr>
            <w:tcW w:w="3955" w:type="dxa"/>
            <w:vAlign w:val="center"/>
          </w:tcPr>
          <w:p w14:paraId="7CA7A256">
            <w:pPr>
              <w:widowControl/>
              <w:spacing w:line="240" w:lineRule="auto"/>
              <w:ind w:firstLine="0" w:firstLineChars="0"/>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建设年产400吨高性能炭／炭复合材料制品及相关产品生产线。</w:t>
            </w:r>
          </w:p>
        </w:tc>
        <w:tc>
          <w:tcPr>
            <w:tcW w:w="2496" w:type="dxa"/>
            <w:vAlign w:val="center"/>
          </w:tcPr>
          <w:p w14:paraId="3561B59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预计年产值可达1.4亿元，税收1200万元，解决就业100人</w:t>
            </w:r>
          </w:p>
        </w:tc>
      </w:tr>
      <w:tr w14:paraId="3DA1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A94CAE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4</w:t>
            </w:r>
          </w:p>
        </w:tc>
        <w:tc>
          <w:tcPr>
            <w:tcW w:w="0" w:type="auto"/>
            <w:vAlign w:val="center"/>
          </w:tcPr>
          <w:p w14:paraId="2D90C4C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新达磁性材料电子元器件项目</w:t>
            </w:r>
          </w:p>
        </w:tc>
        <w:tc>
          <w:tcPr>
            <w:tcW w:w="3955" w:type="dxa"/>
            <w:vAlign w:val="center"/>
          </w:tcPr>
          <w:p w14:paraId="2D0355DE">
            <w:pPr>
              <w:widowControl/>
              <w:spacing w:line="240" w:lineRule="auto"/>
              <w:ind w:firstLine="0" w:firstLineChars="0"/>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新建一条磁性材料电子元器件生产线。项目建成后，将具备年产2000吨高性能磁性材料的生产能力。。</w:t>
            </w:r>
          </w:p>
        </w:tc>
        <w:tc>
          <w:tcPr>
            <w:tcW w:w="2496" w:type="dxa"/>
            <w:vAlign w:val="center"/>
          </w:tcPr>
          <w:p w14:paraId="0A915C8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预计年产值6.3亿元，年税收3219万，解决就业90人</w:t>
            </w:r>
          </w:p>
        </w:tc>
      </w:tr>
      <w:tr w14:paraId="6C33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220B66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w:t>
            </w:r>
          </w:p>
        </w:tc>
        <w:tc>
          <w:tcPr>
            <w:tcW w:w="0" w:type="auto"/>
            <w:vAlign w:val="center"/>
          </w:tcPr>
          <w:p w14:paraId="7582BF6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振晖石墨深加工项目</w:t>
            </w:r>
          </w:p>
        </w:tc>
        <w:tc>
          <w:tcPr>
            <w:tcW w:w="3955" w:type="dxa"/>
            <w:vAlign w:val="center"/>
          </w:tcPr>
          <w:p w14:paraId="18A38DCA">
            <w:pPr>
              <w:widowControl/>
              <w:spacing w:line="240" w:lineRule="auto"/>
              <w:ind w:firstLine="0" w:firstLineChars="0"/>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建设厂房5600平方米，主要生产石墨及碳素制品等。项目全部建成后，将具备年产石墨制品1500吨的生产能力。</w:t>
            </w:r>
          </w:p>
        </w:tc>
        <w:tc>
          <w:tcPr>
            <w:tcW w:w="2496" w:type="dxa"/>
            <w:vAlign w:val="center"/>
          </w:tcPr>
          <w:p w14:paraId="1B52F86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预计实现年产值1亿元，年税收200万元，解决就业20人</w:t>
            </w:r>
          </w:p>
        </w:tc>
      </w:tr>
      <w:tr w14:paraId="0482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A43864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w:t>
            </w:r>
          </w:p>
        </w:tc>
        <w:tc>
          <w:tcPr>
            <w:tcW w:w="0" w:type="auto"/>
            <w:vAlign w:val="center"/>
          </w:tcPr>
          <w:p w14:paraId="2CD995C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晶源炭纤维复合材料生产项目</w:t>
            </w:r>
          </w:p>
        </w:tc>
        <w:tc>
          <w:tcPr>
            <w:tcW w:w="3955" w:type="dxa"/>
            <w:vAlign w:val="center"/>
          </w:tcPr>
          <w:p w14:paraId="09A71A2D">
            <w:pPr>
              <w:widowControl/>
              <w:spacing w:line="240" w:lineRule="auto"/>
              <w:ind w:firstLine="0" w:firstLineChars="0"/>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年产1000吨以上碳纤维复合材料的生产能力 </w:t>
            </w:r>
          </w:p>
        </w:tc>
        <w:tc>
          <w:tcPr>
            <w:tcW w:w="2496" w:type="dxa"/>
            <w:vAlign w:val="center"/>
          </w:tcPr>
          <w:p w14:paraId="309C7E2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预计年产值可达4亿元，年税收6500万元，解决就业300人。</w:t>
            </w:r>
          </w:p>
        </w:tc>
      </w:tr>
    </w:tbl>
    <w:p w14:paraId="6B3CB3BB">
      <w:pPr>
        <w:pStyle w:val="97"/>
        <w:numPr>
          <w:ilvl w:val="1"/>
          <w:numId w:val="6"/>
        </w:numPr>
        <w:adjustRightInd w:val="0"/>
        <w:snapToGrid w:val="0"/>
        <w:spacing w:before="240" w:beforeLines="100"/>
        <w:ind w:firstLineChars="0"/>
        <w:jc w:val="left"/>
        <w:outlineLvl w:val="1"/>
        <w:rPr>
          <w:rFonts w:ascii="Times New Roman" w:hAnsi="Times New Roman" w:eastAsia="黑体"/>
          <w:b/>
          <w:sz w:val="30"/>
          <w:szCs w:val="30"/>
        </w:rPr>
      </w:pPr>
      <w:bookmarkStart w:id="647" w:name="_Toc192675938"/>
      <w:r>
        <w:rPr>
          <w:rFonts w:ascii="Times New Roman" w:hAnsi="Times New Roman" w:eastAsia="黑体"/>
          <w:b/>
          <w:sz w:val="30"/>
          <w:szCs w:val="30"/>
        </w:rPr>
        <w:t>新能源产业</w:t>
      </w:r>
      <w:bookmarkEnd w:id="647"/>
    </w:p>
    <w:p w14:paraId="02177E5D">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48" w:name="_Toc192675939"/>
      <w:r>
        <w:rPr>
          <w:rFonts w:ascii="Times New Roman" w:hAnsi="Times New Roman" w:eastAsia="黑体"/>
          <w:b/>
          <w:sz w:val="30"/>
          <w:szCs w:val="30"/>
        </w:rPr>
        <w:t>发展趋势</w:t>
      </w:r>
      <w:bookmarkEnd w:id="648"/>
    </w:p>
    <w:p w14:paraId="5846337E">
      <w:pPr>
        <w:pStyle w:val="269"/>
        <w:ind w:firstLine="560"/>
      </w:pPr>
      <w:r>
        <w:t>能源是经济社会发展的基础和动力源泉，随着国际经济结构的调整和低碳经济的发展，全球正在进入新的能源转型期，风电、光伏、生物质能等新能源的开发与利用正部分替代原始能源的利用。同时电力自动化、电力运维与电力信息化等能源管理技术的进步也提升了人类对能源的综合利用效率近年来国内经济的不断发展，我国已经一跃成为世界上第二能源消耗国，在全球能源危机背景下发展新能源已经成为我国保障国家能源安全稳定供应，推动我国从能源大国向能源强国不断迈进重要战略举措。“十四五”期间，我国将加快新能源创新开发利用模式、构建新型电力系统，加快建设清洁低碳、安全高效的能源体系，为如期实现“双碳”目标奠定坚实的基础。</w:t>
      </w:r>
    </w:p>
    <w:p w14:paraId="31F6A963">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49" w:name="_Toc192675940"/>
      <w:r>
        <w:rPr>
          <w:rFonts w:ascii="Times New Roman" w:hAnsi="Times New Roman" w:eastAsia="黑体"/>
          <w:b/>
          <w:sz w:val="30"/>
          <w:szCs w:val="30"/>
        </w:rPr>
        <w:t>发展思路</w:t>
      </w:r>
      <w:bookmarkEnd w:id="649"/>
    </w:p>
    <w:p w14:paraId="3EB97CD4">
      <w:pPr>
        <w:pStyle w:val="269"/>
        <w:ind w:firstLine="560"/>
      </w:pPr>
      <w:r>
        <w:t>集聚优秀企业和产业链上的各方资源，推动新能源产业链的完善和优化，形成以技术创新、规模化、标准化和差异化为特色的产业集群。重点围绕园区发展及产业配套需求，以大项目为带动，打造典型示范项目，有力支撑全市打造全国重要的现代能源产业基地建设。</w:t>
      </w:r>
    </w:p>
    <w:p w14:paraId="54B8E985">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0" w:name="_Toc192675941"/>
      <w:r>
        <w:rPr>
          <w:rFonts w:ascii="Times New Roman" w:hAnsi="Times New Roman" w:eastAsia="黑体"/>
          <w:b/>
          <w:sz w:val="30"/>
          <w:szCs w:val="30"/>
        </w:rPr>
        <w:t>发展重点</w:t>
      </w:r>
      <w:bookmarkEnd w:id="650"/>
    </w:p>
    <w:p w14:paraId="6B6A6BDF">
      <w:pPr>
        <w:pStyle w:val="269"/>
        <w:ind w:firstLine="560"/>
      </w:pPr>
      <w:r>
        <w:t>（1）核能装备产业</w:t>
      </w:r>
    </w:p>
    <w:p w14:paraId="6EC6F39A">
      <w:pPr>
        <w:pStyle w:val="269"/>
        <w:ind w:firstLine="560"/>
      </w:pPr>
      <w:r>
        <w:t>园区紧抓核电发展机遇，以中核北方相关产业项目为产业带动，着手对接引进、压力容器、主管道、蒸汽发生器、阀门、主泵、堆内构件、核电装备等行业企业龙头，布局园区核产业企业建设与发展。积极推动民用化应用，争取在可移动式和便携式的医疗仪器屏蔽装置、核电运输容器等装备制造领域取得突破，形成核能民用装备产业体系。</w:t>
      </w:r>
    </w:p>
    <w:p w14:paraId="28D07F6C">
      <w:pPr>
        <w:pStyle w:val="269"/>
        <w:ind w:firstLine="560"/>
      </w:pPr>
      <w:r>
        <w:t>（2）风能产业</w:t>
      </w:r>
    </w:p>
    <w:p w14:paraId="610DE8BC">
      <w:pPr>
        <w:pStyle w:val="269"/>
        <w:ind w:firstLine="560"/>
      </w:pPr>
      <w:r>
        <w:t>园区应充分利用我市在磁材、钢材供应等充足的风机设备原辅材料和钢结构加工等配套优势，依托园区装备制造能力，梳理风电装备产业链短板弱项，重点将整机、发电机、齿轮箱、减速箱、大型铸、锻件、轴承、联轴器、液压与制动、核心电器、紧固件类、塔筒等风电设备作为重点引进对象，持续提升园区风电配套体系完整度，增强供应链吸附力。</w:t>
      </w:r>
    </w:p>
    <w:p w14:paraId="05468A1C">
      <w:pPr>
        <w:pStyle w:val="269"/>
        <w:ind w:firstLine="560"/>
      </w:pPr>
      <w:r>
        <w:t>（3）太阳能产业</w:t>
      </w:r>
    </w:p>
    <w:p w14:paraId="3D406BAC">
      <w:pPr>
        <w:pStyle w:val="269"/>
        <w:ind w:firstLine="560"/>
      </w:pPr>
      <w:r>
        <w:t>园区以包头市“世界绿色硅都”为发展契机，充分发挥弘元、晶澳、阿特斯在内的一批光伏制造产业产能聚集效应，利用其产能稳定、前景开阔的优势，稳步推进在建项目扩产扩能。结合园区实际，因地制宜，做精做细做实规划，推动产业布局和集群发展，在做强现有单晶产业基础上，着力引进半导体级单晶硅棒、太阳能电池片、组件、背板、逆变器、光伏设备、光伏支架、光伏玻璃等配套项目，形成集聚性、根植性、先进性较强，协同创新力、智造发展力、品牌影响力较大的光伏产业供应链。同步布局发展光伏玻璃、石英坩埚、金属硅粉、石英砂、EVA胶膜、边框等配套应用行业。</w:t>
      </w:r>
    </w:p>
    <w:p w14:paraId="17485EB4">
      <w:pPr>
        <w:pStyle w:val="269"/>
        <w:ind w:firstLine="560"/>
      </w:pPr>
      <w:r>
        <w:t>（4）氢能产业</w:t>
      </w:r>
    </w:p>
    <w:p w14:paraId="6C868B1E">
      <w:pPr>
        <w:pStyle w:val="269"/>
        <w:ind w:firstLine="560"/>
      </w:pPr>
      <w:r>
        <w:t>依托包头氢能示范城市制造应用项目和氢能产业与可再生能源一体化项目，以发展氢能产业项目为目标，充分发挥园区资源，重点发展加氢设备、储氢设备、氢燃料电池，同时依托氢能应用发展新能源电池、新能源汽车等新能源下游产业，打造氢能产业链，建设氢能装备产业集群。以绿氢制造和试点示范为抓手，引进一批具有较强带动作用的氢能装备与燃料电池产业龙头骨干企业。积极对接国电投氢能、亿华通、喜马拉雅、美锦能源、东方电气、淮柴动力、上海重塑等龙头企业，争取引进氢燃料电池、无人机、氢能叉车等研发制造企业，培育和引进燃料电池氢气循环泵、膜电极、双极板、高效催化剂、质子交换膜、控制系统等关键材料和核心零部生产企业，完善产业链布局，聚焦氢燃料电池及核心零部件产业化打造产业集群；加大与上海申能集团、中材科技、中集安瑞科的对接力度，拓展氢气“制储运加”装备产业链，以大力发展可再生能源制“绿氢”为契机，培育电解水制氢装备、液氢储运装备、输氢管道和加氢装备企业；围绕氢气加注设备，发展加氢机、控制阀组、氢气压缩机、顺序控制柜等设备，完善氢能产业链布局。</w:t>
      </w:r>
    </w:p>
    <w:p w14:paraId="739A8472">
      <w:pPr>
        <w:pStyle w:val="269"/>
        <w:ind w:firstLine="560"/>
      </w:pPr>
      <w:r>
        <w:rPr>
          <w:rFonts w:hint="eastAsia"/>
        </w:rPr>
        <w:t>（5）储能产业</w:t>
      </w:r>
    </w:p>
    <w:p w14:paraId="7D512276">
      <w:pPr>
        <w:pStyle w:val="269"/>
        <w:ind w:firstLine="560"/>
      </w:pPr>
      <w:r>
        <w:rPr>
          <w:rFonts w:hint="eastAsia"/>
        </w:rPr>
        <w:t>一是高效能量存储系统，如大型锂离子电池储能系统、液流电池储能系统等；二是储能关键技术研发与制造，涉及高性能电池材料、电芯制造技术、系统集成技术等；三是储能相关装备制造，包括储能电池生产设备、测试设备以及相关辅助设施；四是储能解决方案提供，聚焦储能系统的设计、安装、运营和维护服务；五是储能应用场景拓展，如新能源发电配套储能、电网调峰、应急备用电源等领域。</w:t>
      </w:r>
    </w:p>
    <w:p w14:paraId="5F2680FB">
      <w:pPr>
        <w:pStyle w:val="269"/>
        <w:ind w:firstLine="0" w:firstLineChars="0"/>
        <w:jc w:val="center"/>
      </w:pPr>
      <w:r>
        <w:object>
          <v:shape id="_x0000_i1031" o:spt="75" type="#_x0000_t75" style="height:251.3pt;width:422.5pt;" o:ole="t" filled="f" o:preferrelative="t" stroked="f" coordsize="21600,21600">
            <v:path/>
            <v:fill on="f" focussize="0,0"/>
            <v:stroke on="f" joinstyle="miter"/>
            <v:imagedata r:id="rId36" o:title=""/>
            <o:lock v:ext="edit" aspectratio="t"/>
            <w10:wrap type="none"/>
            <w10:anchorlock/>
          </v:shape>
          <o:OLEObject Type="Embed" ProgID="Visio.Drawing.11" ShapeID="_x0000_i1031" DrawAspect="Content" ObjectID="_1468075731" r:id="rId35">
            <o:LockedField>false</o:LockedField>
          </o:OLEObject>
        </w:object>
      </w:r>
    </w:p>
    <w:p w14:paraId="5D068BDD">
      <w:pPr>
        <w:pStyle w:val="269"/>
        <w:ind w:firstLine="0" w:firstLineChars="0"/>
        <w:jc w:val="center"/>
      </w:pPr>
      <w:r>
        <w:rPr>
          <w:rFonts w:hint="eastAsia"/>
        </w:rPr>
        <w:t>图6.3-1</w:t>
      </w:r>
      <w:r>
        <w:t xml:space="preserve"> </w:t>
      </w:r>
      <w:r>
        <w:rPr>
          <w:rFonts w:hint="eastAsia"/>
        </w:rPr>
        <w:t>新能源产业链规划图</w:t>
      </w:r>
    </w:p>
    <w:p w14:paraId="32BAA5DA">
      <w:pPr>
        <w:pStyle w:val="264"/>
      </w:pPr>
      <w:r>
        <w:t>表6.3-1 新能源术产业发展重点</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2321"/>
        <w:gridCol w:w="2667"/>
        <w:gridCol w:w="1188"/>
        <w:gridCol w:w="1133"/>
      </w:tblGrid>
      <w:tr w14:paraId="35B2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316D4B5">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w:t>
            </w:r>
          </w:p>
        </w:tc>
        <w:tc>
          <w:tcPr>
            <w:tcW w:w="0" w:type="auto"/>
            <w:vAlign w:val="center"/>
          </w:tcPr>
          <w:p w14:paraId="6904580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行业</w:t>
            </w:r>
          </w:p>
        </w:tc>
        <w:tc>
          <w:tcPr>
            <w:tcW w:w="0" w:type="auto"/>
            <w:vAlign w:val="center"/>
          </w:tcPr>
          <w:p w14:paraId="0690F67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重点方向</w:t>
            </w:r>
          </w:p>
        </w:tc>
        <w:tc>
          <w:tcPr>
            <w:tcW w:w="0" w:type="auto"/>
            <w:vAlign w:val="center"/>
          </w:tcPr>
          <w:p w14:paraId="282D5F0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p w14:paraId="4C67DE0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c>
          <w:tcPr>
            <w:tcW w:w="0" w:type="auto"/>
            <w:vAlign w:val="center"/>
          </w:tcPr>
          <w:p w14:paraId="47B9535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w:t>
            </w:r>
          </w:p>
          <w:p w14:paraId="2176B3B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r>
      <w:tr w14:paraId="3D35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551525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核能装备产业</w:t>
            </w:r>
          </w:p>
        </w:tc>
        <w:tc>
          <w:tcPr>
            <w:tcW w:w="0" w:type="auto"/>
            <w:gridSpan w:val="2"/>
            <w:vAlign w:val="center"/>
          </w:tcPr>
          <w:p w14:paraId="03A44AA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核燃料加工及设备、核电装备、核电运营维护、核电工程技术服务</w:t>
            </w:r>
          </w:p>
        </w:tc>
        <w:tc>
          <w:tcPr>
            <w:tcW w:w="0" w:type="auto"/>
          </w:tcPr>
          <w:p w14:paraId="67116DA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20亿元</w:t>
            </w:r>
          </w:p>
        </w:tc>
        <w:tc>
          <w:tcPr>
            <w:tcW w:w="0" w:type="auto"/>
          </w:tcPr>
          <w:p w14:paraId="0218893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35亿元</w:t>
            </w:r>
          </w:p>
        </w:tc>
      </w:tr>
      <w:tr w14:paraId="57FA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0CD858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风能产业</w:t>
            </w:r>
          </w:p>
        </w:tc>
        <w:tc>
          <w:tcPr>
            <w:tcW w:w="0" w:type="auto"/>
            <w:gridSpan w:val="2"/>
            <w:vAlign w:val="center"/>
          </w:tcPr>
          <w:p w14:paraId="05D983D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风能发电机装备机零部件、风能发电其他相关装备及材料、风能发电运营维护、风能发电工程技术服务</w:t>
            </w:r>
          </w:p>
        </w:tc>
        <w:tc>
          <w:tcPr>
            <w:tcW w:w="0" w:type="auto"/>
          </w:tcPr>
          <w:p w14:paraId="1C4A250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20亿元</w:t>
            </w:r>
          </w:p>
        </w:tc>
        <w:tc>
          <w:tcPr>
            <w:tcW w:w="0" w:type="auto"/>
          </w:tcPr>
          <w:p w14:paraId="3C82CDE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35亿元</w:t>
            </w:r>
          </w:p>
        </w:tc>
      </w:tr>
      <w:tr w14:paraId="0173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18ACF07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太阳能产业</w:t>
            </w:r>
          </w:p>
        </w:tc>
        <w:tc>
          <w:tcPr>
            <w:tcW w:w="0" w:type="auto"/>
            <w:vMerge w:val="restart"/>
            <w:vAlign w:val="center"/>
          </w:tcPr>
          <w:p w14:paraId="37A56ED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太阳能材料</w:t>
            </w:r>
          </w:p>
        </w:tc>
        <w:tc>
          <w:tcPr>
            <w:tcW w:w="0" w:type="auto"/>
            <w:vAlign w:val="center"/>
          </w:tcPr>
          <w:p w14:paraId="4878B22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单晶硅 </w:t>
            </w:r>
          </w:p>
        </w:tc>
        <w:tc>
          <w:tcPr>
            <w:tcW w:w="0" w:type="auto"/>
            <w:vAlign w:val="center"/>
          </w:tcPr>
          <w:p w14:paraId="197DFB2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120GW</w:t>
            </w:r>
          </w:p>
        </w:tc>
        <w:tc>
          <w:tcPr>
            <w:tcW w:w="0" w:type="auto"/>
            <w:vAlign w:val="center"/>
          </w:tcPr>
          <w:p w14:paraId="68F316C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50 GW</w:t>
            </w:r>
          </w:p>
        </w:tc>
      </w:tr>
      <w:tr w14:paraId="6D00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44EC0A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43DD6207">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4B0620B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切片 </w:t>
            </w:r>
          </w:p>
        </w:tc>
        <w:tc>
          <w:tcPr>
            <w:tcW w:w="0" w:type="auto"/>
            <w:vAlign w:val="center"/>
          </w:tcPr>
          <w:p w14:paraId="1DCE06F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60 GW</w:t>
            </w:r>
          </w:p>
        </w:tc>
        <w:tc>
          <w:tcPr>
            <w:tcW w:w="0" w:type="auto"/>
            <w:vAlign w:val="center"/>
          </w:tcPr>
          <w:p w14:paraId="78CF7EA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25GW</w:t>
            </w:r>
          </w:p>
        </w:tc>
      </w:tr>
      <w:tr w14:paraId="011E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8683C51">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2EB7C975">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5E7FD22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太阳能电池片</w:t>
            </w:r>
          </w:p>
        </w:tc>
        <w:tc>
          <w:tcPr>
            <w:tcW w:w="0" w:type="auto"/>
            <w:vAlign w:val="center"/>
          </w:tcPr>
          <w:p w14:paraId="3EA3917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30 GW</w:t>
            </w:r>
          </w:p>
        </w:tc>
        <w:tc>
          <w:tcPr>
            <w:tcW w:w="0" w:type="auto"/>
            <w:vAlign w:val="center"/>
          </w:tcPr>
          <w:p w14:paraId="4CCA9AC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20GW</w:t>
            </w:r>
          </w:p>
        </w:tc>
      </w:tr>
      <w:tr w14:paraId="625E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6875E010">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23A2D8E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1C3C08F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组件 </w:t>
            </w:r>
          </w:p>
        </w:tc>
        <w:tc>
          <w:tcPr>
            <w:tcW w:w="0" w:type="auto"/>
            <w:vAlign w:val="center"/>
          </w:tcPr>
          <w:p w14:paraId="46957D4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30GW</w:t>
            </w:r>
          </w:p>
        </w:tc>
        <w:tc>
          <w:tcPr>
            <w:tcW w:w="0" w:type="auto"/>
            <w:vAlign w:val="center"/>
          </w:tcPr>
          <w:p w14:paraId="341BD80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20GW</w:t>
            </w:r>
          </w:p>
        </w:tc>
      </w:tr>
      <w:tr w14:paraId="601A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331A54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氢能产业</w:t>
            </w:r>
          </w:p>
        </w:tc>
        <w:tc>
          <w:tcPr>
            <w:tcW w:w="0" w:type="auto"/>
            <w:gridSpan w:val="2"/>
            <w:vAlign w:val="center"/>
          </w:tcPr>
          <w:p w14:paraId="28E3EE1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氢能新能源装备</w:t>
            </w:r>
          </w:p>
        </w:tc>
        <w:tc>
          <w:tcPr>
            <w:tcW w:w="0" w:type="auto"/>
          </w:tcPr>
          <w:p w14:paraId="5084DD1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15亿元</w:t>
            </w:r>
          </w:p>
        </w:tc>
        <w:tc>
          <w:tcPr>
            <w:tcW w:w="0" w:type="auto"/>
          </w:tcPr>
          <w:p w14:paraId="265C2EA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20亿元</w:t>
            </w:r>
          </w:p>
        </w:tc>
      </w:tr>
      <w:tr w14:paraId="37F6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F7F3F9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智能电网产业</w:t>
            </w:r>
          </w:p>
        </w:tc>
        <w:tc>
          <w:tcPr>
            <w:tcW w:w="0" w:type="auto"/>
            <w:gridSpan w:val="2"/>
            <w:vAlign w:val="center"/>
          </w:tcPr>
          <w:p w14:paraId="25C2067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智能电力控制设备及电缆制造、电力电子基础元器件制造</w:t>
            </w:r>
          </w:p>
        </w:tc>
        <w:tc>
          <w:tcPr>
            <w:tcW w:w="0" w:type="auto"/>
          </w:tcPr>
          <w:p w14:paraId="7A01A2C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5亿元</w:t>
            </w:r>
          </w:p>
        </w:tc>
        <w:tc>
          <w:tcPr>
            <w:tcW w:w="0" w:type="auto"/>
          </w:tcPr>
          <w:p w14:paraId="49C7A52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10亿元</w:t>
            </w:r>
          </w:p>
        </w:tc>
      </w:tr>
      <w:tr w14:paraId="3F1A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E18A6A0">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储能产业</w:t>
            </w:r>
          </w:p>
        </w:tc>
        <w:tc>
          <w:tcPr>
            <w:tcW w:w="0" w:type="auto"/>
            <w:gridSpan w:val="2"/>
            <w:vAlign w:val="center"/>
          </w:tcPr>
          <w:p w14:paraId="0870814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高效能量存储</w:t>
            </w:r>
            <w:r>
              <w:rPr>
                <w:rFonts w:hint="eastAsia"/>
                <w:color w:val="000000" w:themeColor="text1"/>
                <w:kern w:val="0"/>
                <w:sz w:val="21"/>
                <w:szCs w:val="21"/>
                <w14:textFill>
                  <w14:solidFill>
                    <w14:schemeClr w14:val="tx1"/>
                  </w14:solidFill>
                </w14:textFill>
              </w:rPr>
              <w:t>、</w:t>
            </w:r>
            <w:r>
              <w:rPr>
                <w:color w:val="000000" w:themeColor="text1"/>
                <w:kern w:val="0"/>
                <w:sz w:val="21"/>
                <w:szCs w:val="21"/>
                <w14:textFill>
                  <w14:solidFill>
                    <w14:schemeClr w14:val="tx1"/>
                  </w14:solidFill>
                </w14:textFill>
              </w:rPr>
              <w:t>储能关键技术</w:t>
            </w:r>
            <w:r>
              <w:rPr>
                <w:rFonts w:hint="eastAsia"/>
                <w:color w:val="000000" w:themeColor="text1"/>
                <w:kern w:val="0"/>
                <w:sz w:val="21"/>
                <w:szCs w:val="21"/>
                <w14:textFill>
                  <w14:solidFill>
                    <w14:schemeClr w14:val="tx1"/>
                  </w14:solidFill>
                </w14:textFill>
              </w:rPr>
              <w:t>、</w:t>
            </w:r>
            <w:r>
              <w:rPr>
                <w:color w:val="000000" w:themeColor="text1"/>
                <w:kern w:val="0"/>
                <w:sz w:val="21"/>
                <w:szCs w:val="21"/>
                <w14:textFill>
                  <w14:solidFill>
                    <w14:schemeClr w14:val="tx1"/>
                  </w14:solidFill>
                </w14:textFill>
              </w:rPr>
              <w:t>储能相关装备制造</w:t>
            </w:r>
          </w:p>
        </w:tc>
        <w:tc>
          <w:tcPr>
            <w:tcW w:w="0" w:type="auto"/>
          </w:tcPr>
          <w:p w14:paraId="565838E8">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5</w:t>
            </w:r>
            <w:r>
              <w:rPr>
                <w:color w:val="000000" w:themeColor="text1"/>
                <w:kern w:val="0"/>
                <w:sz w:val="21"/>
                <w:szCs w:val="21"/>
                <w14:textFill>
                  <w14:solidFill>
                    <w14:schemeClr w14:val="tx1"/>
                  </w14:solidFill>
                </w14:textFill>
              </w:rPr>
              <w:t>亿元</w:t>
            </w:r>
          </w:p>
        </w:tc>
        <w:tc>
          <w:tcPr>
            <w:tcW w:w="0" w:type="auto"/>
          </w:tcPr>
          <w:p w14:paraId="5E49D73B">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5</w:t>
            </w:r>
            <w:r>
              <w:rPr>
                <w:color w:val="000000" w:themeColor="text1"/>
                <w:kern w:val="0"/>
                <w:sz w:val="21"/>
                <w:szCs w:val="21"/>
                <w14:textFill>
                  <w14:solidFill>
                    <w14:schemeClr w14:val="tx1"/>
                  </w14:solidFill>
                </w14:textFill>
              </w:rPr>
              <w:t>亿元</w:t>
            </w:r>
          </w:p>
        </w:tc>
      </w:tr>
      <w:tr w14:paraId="0385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vAlign w:val="center"/>
          </w:tcPr>
          <w:p w14:paraId="1DEAF6A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备注：</w:t>
            </w: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分类参考《工业战略性新兴产业分类》（2024）</w:t>
            </w:r>
          </w:p>
        </w:tc>
      </w:tr>
    </w:tbl>
    <w:p w14:paraId="56B3C81F">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1" w:name="_Toc192675942"/>
      <w:r>
        <w:rPr>
          <w:rFonts w:ascii="Times New Roman" w:hAnsi="Times New Roman" w:eastAsia="黑体"/>
          <w:b/>
          <w:sz w:val="30"/>
          <w:szCs w:val="30"/>
        </w:rPr>
        <w:t>重点项目</w:t>
      </w:r>
      <w:bookmarkEnd w:id="651"/>
    </w:p>
    <w:p w14:paraId="515B2ABE">
      <w:pPr>
        <w:pStyle w:val="264"/>
      </w:pPr>
      <w:r>
        <w:t>表6.3-2 新能源产业重点项目</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1442"/>
        <w:gridCol w:w="4952"/>
        <w:gridCol w:w="1677"/>
      </w:tblGrid>
      <w:tr w14:paraId="3094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D9876A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序号</w:t>
            </w:r>
          </w:p>
        </w:tc>
        <w:tc>
          <w:tcPr>
            <w:tcW w:w="0" w:type="auto"/>
            <w:vAlign w:val="center"/>
          </w:tcPr>
          <w:p w14:paraId="384CFDD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项目</w:t>
            </w:r>
          </w:p>
        </w:tc>
        <w:tc>
          <w:tcPr>
            <w:tcW w:w="0" w:type="auto"/>
            <w:vAlign w:val="center"/>
          </w:tcPr>
          <w:p w14:paraId="07E7767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建设内容</w:t>
            </w:r>
          </w:p>
        </w:tc>
        <w:tc>
          <w:tcPr>
            <w:tcW w:w="0" w:type="auto"/>
            <w:vAlign w:val="center"/>
          </w:tcPr>
          <w:p w14:paraId="24A69C8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经济效益</w:t>
            </w:r>
          </w:p>
        </w:tc>
      </w:tr>
      <w:tr w14:paraId="32C2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26B907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0" w:type="auto"/>
            <w:vAlign w:val="center"/>
          </w:tcPr>
          <w:p w14:paraId="5D066FF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阿特斯10GW电池、10GW光伏切片项目  </w:t>
            </w:r>
          </w:p>
        </w:tc>
        <w:tc>
          <w:tcPr>
            <w:tcW w:w="0" w:type="auto"/>
            <w:vAlign w:val="center"/>
          </w:tcPr>
          <w:p w14:paraId="1E56ECE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项目计划总投资45亿元，总占地面积400亩，新建10GW电池、10GW光伏切片项目， </w:t>
            </w:r>
          </w:p>
        </w:tc>
        <w:tc>
          <w:tcPr>
            <w:tcW w:w="0" w:type="auto"/>
            <w:vAlign w:val="center"/>
          </w:tcPr>
          <w:p w14:paraId="082F976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预计产值115亿元，解决就业1500人。</w:t>
            </w:r>
          </w:p>
        </w:tc>
      </w:tr>
      <w:tr w14:paraId="2FC3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5E6ADD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0" w:type="auto"/>
            <w:vAlign w:val="center"/>
          </w:tcPr>
          <w:p w14:paraId="4EE4B37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青山城投包头氢能装备制造零碳产业园一期</w:t>
            </w:r>
          </w:p>
        </w:tc>
        <w:tc>
          <w:tcPr>
            <w:tcW w:w="0" w:type="auto"/>
            <w:vAlign w:val="center"/>
          </w:tcPr>
          <w:p w14:paraId="611BEEA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氢能产业园项目位于园区新规划区装备大道以东、清源路以南原海隆公司厂区内，占地面积158亩，园区重点引进发展以北奔氢能汽车为载体氢燃料电池动力系统、氢燃料电堆、供氢储氢装备等关键产业，建设投产后可实现年产1000台套氢燃料电池动力系统、氢燃料电池电堆、供氢储氢系统， </w:t>
            </w:r>
          </w:p>
        </w:tc>
        <w:tc>
          <w:tcPr>
            <w:tcW w:w="0" w:type="auto"/>
            <w:vAlign w:val="center"/>
          </w:tcPr>
          <w:p w14:paraId="6F59D78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项目全部达产后，年可实现产值60亿元、税金1.8亿元，新增就业岗位500个</w:t>
            </w:r>
          </w:p>
        </w:tc>
      </w:tr>
      <w:tr w14:paraId="4184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37F11B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w:t>
            </w:r>
          </w:p>
        </w:tc>
        <w:tc>
          <w:tcPr>
            <w:tcW w:w="0" w:type="auto"/>
            <w:vAlign w:val="center"/>
          </w:tcPr>
          <w:p w14:paraId="1BA8025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中集安瑞科氢能装备制造项目</w:t>
            </w:r>
          </w:p>
        </w:tc>
        <w:tc>
          <w:tcPr>
            <w:tcW w:w="0" w:type="auto"/>
            <w:vAlign w:val="center"/>
          </w:tcPr>
          <w:p w14:paraId="4A75BF2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中集安瑞科控股有限公司于2004年成立，自2005年在香港联交所上市，为中集集团成员之一。中集安瑞科旗下氢能业务发展平台，主要从事氢气储运装备、加氢站、海上制氢相关装备的设计、研发和生产制造。在石家庄设有办事处/办公室，为氢能与燃料电池示范城市群客户提供完整的解决方案和产品服务，服务示范城市氢能建设，助力国家“碳中和”目标早日实现。</w:t>
            </w:r>
          </w:p>
        </w:tc>
        <w:tc>
          <w:tcPr>
            <w:tcW w:w="0" w:type="auto"/>
            <w:vAlign w:val="center"/>
          </w:tcPr>
          <w:p w14:paraId="3C6C9BF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3EF1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AEC05C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4</w:t>
            </w:r>
          </w:p>
        </w:tc>
        <w:tc>
          <w:tcPr>
            <w:tcW w:w="0" w:type="auto"/>
            <w:vAlign w:val="center"/>
          </w:tcPr>
          <w:p w14:paraId="10E4E56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上海氢港新能源科技有限公司氢能储能装备研发制造智慧园项目</w:t>
            </w:r>
          </w:p>
        </w:tc>
        <w:tc>
          <w:tcPr>
            <w:tcW w:w="0" w:type="auto"/>
            <w:vAlign w:val="center"/>
          </w:tcPr>
          <w:p w14:paraId="246A2D3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计划投资10亿元，建设40万标方制氢系统设备项目、100MW氢燃料电池系统设备项目、1000台/套风光储氢充（电）加（氢）站系统设备项目。拟与土右旗绿氢制甲醇、氢储能电站项目打包申请4GW新能源指标。</w:t>
            </w:r>
          </w:p>
        </w:tc>
        <w:tc>
          <w:tcPr>
            <w:tcW w:w="0" w:type="auto"/>
            <w:vAlign w:val="center"/>
          </w:tcPr>
          <w:p w14:paraId="13F9546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216A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3400A33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w:t>
            </w:r>
          </w:p>
        </w:tc>
        <w:tc>
          <w:tcPr>
            <w:tcW w:w="0" w:type="auto"/>
            <w:vMerge w:val="restart"/>
            <w:vAlign w:val="center"/>
          </w:tcPr>
          <w:p w14:paraId="0D410CF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氢能产业与可再生能源一体化项目</w:t>
            </w:r>
          </w:p>
        </w:tc>
        <w:tc>
          <w:tcPr>
            <w:tcW w:w="0" w:type="auto"/>
            <w:vAlign w:val="center"/>
          </w:tcPr>
          <w:p w14:paraId="09CCDAE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上海氢晨新能源科技有限公司(以下简称“氢晨科技”)是一家专注于高密度燃料电池电堆研发、生产、销售及总体方案的高科技企业。氢晨科技是落实上海交通大学“氢科学与技术创新中心”战略而成立的产业化公司，具有丰富的燃料电池电堆开发经验，在燃料电池电堆方面具备领先的工程设计和批量化制造能力。落地建设年产5000台套燃料电池电堆生产基地。产线投产后，每年产能5000台，产值10亿。</w:t>
            </w:r>
          </w:p>
        </w:tc>
        <w:tc>
          <w:tcPr>
            <w:tcW w:w="0" w:type="auto"/>
            <w:vAlign w:val="center"/>
          </w:tcPr>
          <w:p w14:paraId="67F6FC0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总投资2.5亿元，平均每年税收3000万，就业人数100人</w:t>
            </w:r>
          </w:p>
        </w:tc>
      </w:tr>
      <w:tr w14:paraId="0B60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D2836B8">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137A3191">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23FBEC4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鲲华科技（申能集团控股企业），落地建设氢燃料电池发动机系统生产项目，建成后年产能5000台，产值10亿，总投资2.5亿元。</w:t>
            </w:r>
          </w:p>
        </w:tc>
        <w:tc>
          <w:tcPr>
            <w:tcW w:w="0" w:type="auto"/>
            <w:vAlign w:val="center"/>
          </w:tcPr>
          <w:p w14:paraId="02A4B80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平均每年税收5000万，就业人数80-100人</w:t>
            </w:r>
          </w:p>
        </w:tc>
      </w:tr>
      <w:tr w14:paraId="1D57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2283528D">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6F9DC87C">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3A242BE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彼欧蓝能科技（申能集团控股企业），落地建设彼欧蓝能北方首条储氢系统装配线产线投产后，每年产能5000台套，产值10亿。   </w:t>
            </w:r>
          </w:p>
        </w:tc>
        <w:tc>
          <w:tcPr>
            <w:tcW w:w="0" w:type="auto"/>
            <w:vAlign w:val="center"/>
          </w:tcPr>
          <w:p w14:paraId="17442BC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总投资1.0亿元，平均每年税收1000万，就业人数 110 人</w:t>
            </w:r>
          </w:p>
        </w:tc>
      </w:tr>
      <w:tr w14:paraId="4BAD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3E69FCB7">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7A9B605F">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362E18E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氢盛能源（申能集团控股企业），落地建设电解槽系统生产项目，建成投产后，每年产能250MW，产值3亿，总投资 1.2亿元，。</w:t>
            </w:r>
          </w:p>
        </w:tc>
        <w:tc>
          <w:tcPr>
            <w:tcW w:w="0" w:type="auto"/>
            <w:vAlign w:val="center"/>
          </w:tcPr>
          <w:p w14:paraId="4BF2F07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平均每年税收2000万，就业人数50人</w:t>
            </w:r>
          </w:p>
        </w:tc>
      </w:tr>
      <w:tr w14:paraId="4850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7EC120D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5440F962">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Align w:val="center"/>
          </w:tcPr>
          <w:p w14:paraId="6C5DEF0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申能绿电制氢及加氢站装备项目，拟与中核北方集团、装备园区合作建设加氢站，利用分布式光伏绿电水电解制氢、核能制氢等，为加氢站提供充沛绿色能源。</w:t>
            </w:r>
          </w:p>
        </w:tc>
        <w:tc>
          <w:tcPr>
            <w:tcW w:w="0" w:type="auto"/>
            <w:vAlign w:val="center"/>
          </w:tcPr>
          <w:p w14:paraId="20AD4DF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bl>
    <w:p w14:paraId="74A59381">
      <w:pPr>
        <w:pStyle w:val="97"/>
        <w:numPr>
          <w:ilvl w:val="1"/>
          <w:numId w:val="6"/>
        </w:numPr>
        <w:adjustRightInd w:val="0"/>
        <w:snapToGrid w:val="0"/>
        <w:spacing w:before="240" w:beforeLines="100"/>
        <w:ind w:firstLineChars="0"/>
        <w:jc w:val="left"/>
        <w:outlineLvl w:val="1"/>
        <w:rPr>
          <w:rFonts w:ascii="Times New Roman" w:hAnsi="Times New Roman" w:eastAsia="黑体"/>
          <w:b/>
          <w:sz w:val="30"/>
          <w:szCs w:val="30"/>
        </w:rPr>
      </w:pPr>
      <w:bookmarkStart w:id="652" w:name="_Toc192675943"/>
      <w:r>
        <w:rPr>
          <w:rFonts w:ascii="Times New Roman" w:hAnsi="Times New Roman" w:eastAsia="黑体"/>
          <w:b/>
          <w:sz w:val="30"/>
          <w:szCs w:val="30"/>
        </w:rPr>
        <w:t>新能源汽车产业</w:t>
      </w:r>
      <w:bookmarkEnd w:id="652"/>
    </w:p>
    <w:p w14:paraId="171F86CD">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3" w:name="_Toc192675944"/>
      <w:r>
        <w:rPr>
          <w:rFonts w:ascii="Times New Roman" w:hAnsi="Times New Roman" w:eastAsia="黑体"/>
          <w:b/>
          <w:sz w:val="30"/>
          <w:szCs w:val="30"/>
        </w:rPr>
        <w:t>发展趋势</w:t>
      </w:r>
      <w:bookmarkEnd w:id="653"/>
    </w:p>
    <w:p w14:paraId="4D2DDAAE">
      <w:pPr>
        <w:pStyle w:val="269"/>
        <w:ind w:firstLine="560"/>
      </w:pPr>
      <w:r>
        <w:t>随着“双碳”政策实施、国内经济转型、绿色能源快速发展和能源供给侧结构性改革持续深化，加之“十四五”规划的实施，为国内新能源产业发展打造更有利的市场环境，新能源产业将迎来更广阔的发展空间。</w:t>
      </w:r>
    </w:p>
    <w:p w14:paraId="186B2B9D">
      <w:pPr>
        <w:pStyle w:val="269"/>
        <w:ind w:firstLine="560"/>
      </w:pPr>
      <w:r>
        <w:t>一是新能源汽车产业发展的市场化驱动力将进一步加强。</w:t>
      </w:r>
    </w:p>
    <w:p w14:paraId="22BB1077">
      <w:pPr>
        <w:pStyle w:val="269"/>
        <w:ind w:firstLine="560"/>
      </w:pPr>
      <w:r>
        <w:t>随着我国新能源汽车产业链与供应链体系的完善，新能源汽车产品竞争力的提升，新能源汽车供给侧的供给水平将得到进一步提升，在需求侧的接受程度也会将进一步提高。</w:t>
      </w:r>
    </w:p>
    <w:p w14:paraId="2B23923D">
      <w:pPr>
        <w:pStyle w:val="269"/>
        <w:ind w:firstLine="560"/>
      </w:pPr>
      <w:r>
        <w:t>二是新能源汽车的渗透率将进一步提升。</w:t>
      </w:r>
    </w:p>
    <w:p w14:paraId="0636D596">
      <w:pPr>
        <w:pStyle w:val="269"/>
        <w:ind w:firstLine="560"/>
      </w:pPr>
      <w:r>
        <w:t>若能延续当前的发展态势，我国有可能提前实现《新能源汽车产业发展规划（2021—2035年）》提出的到2025年新能源汽车新车销售量达到汽车新车销售总量20%左右的目标。</w:t>
      </w:r>
    </w:p>
    <w:p w14:paraId="6293F5FA">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4" w:name="_Toc192675945"/>
      <w:r>
        <w:rPr>
          <w:rFonts w:ascii="Times New Roman" w:hAnsi="Times New Roman" w:eastAsia="黑体"/>
          <w:b/>
          <w:sz w:val="30"/>
          <w:szCs w:val="30"/>
        </w:rPr>
        <w:t>产业发展基础</w:t>
      </w:r>
      <w:bookmarkEnd w:id="654"/>
    </w:p>
    <w:p w14:paraId="51F04985">
      <w:pPr>
        <w:pStyle w:val="269"/>
        <w:ind w:firstLine="560"/>
      </w:pPr>
      <w:r>
        <w:t>近年来，北奔重汽积极推进汽车产业创新升级。2019年-2022年，北奔重汽先后获得了纯电动卡车、氢燃料商用车、混合动力商用车生产资质，开发了智能驾驶和纯电动自卸车、纯电动牵引车、纯电动宽体车、纯电动专用车、纯电动AGV、氢燃料重卡、混合动力等新能源车型。北奔重汽是自治区乃至西北地区唯一拥有重卡生产资质的整车企业，已形成年产20-40吨重型载货汽车、专用牵引车和自卸车5万台的生产能力。在产业配套方面，依托一机、北重等企业已形成包括铸件、锻件、结构件、车架、底盘、传动装置、弹簧、橡胶制品等产品为主的重型汽车配套体系。其中，铸件年生产能力为5万吨，锻件年生产能力为2万吨，车桥年生产能力为15万根，车架年生产能力为30000台（套）；北奔重汽生产欧-Ⅲ全新驾驶室将达到5000个/年的能力。培育了华新机械、震宇机械、包运物流、一机桥箱、欣悦机械等一批重点配套企业。</w:t>
      </w:r>
    </w:p>
    <w:p w14:paraId="45DD13B6">
      <w:pPr>
        <w:pStyle w:val="269"/>
        <w:ind w:firstLine="560"/>
      </w:pPr>
      <w:r>
        <w:t>目前，园区汽车制造企业已形成以北奔重汽为龙头的制造产业链。但在新能源汽车制造产业尚存在较大的不足，主要为以下几点：</w:t>
      </w:r>
    </w:p>
    <w:p w14:paraId="328292B8">
      <w:pPr>
        <w:pStyle w:val="269"/>
        <w:ind w:firstLine="560"/>
      </w:pPr>
      <w:r>
        <w:t>区域新能源汽车企业发展正处于起步阶段，换电设施，加氢站等基础设施及管理服务尚不健全。</w:t>
      </w:r>
    </w:p>
    <w:p w14:paraId="063250A3">
      <w:pPr>
        <w:pStyle w:val="269"/>
        <w:ind w:firstLine="560"/>
      </w:pPr>
      <w:r>
        <w:t>龙头企业带动力不足，整车配套企业配备率低。北奔重汽本地配套企业仅五十余户，除华新机械、一机宏远等部分企业具备一定规模和技术水平外，大部分配套企业主要生产冲压件、焊接件等低附加值机加工产品。目前新能源汽车销量不足带动配套企业建厂盈利条件，发动机、齿轮箱、电池等核心部分均需外采，已成为北奔集团配套额最高的三大部件，以致使企业生产成本高、价格不具备竞争优势。</w:t>
      </w:r>
    </w:p>
    <w:p w14:paraId="162A8646">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5" w:name="_Toc192675946"/>
      <w:r>
        <w:rPr>
          <w:rFonts w:ascii="Times New Roman" w:hAnsi="Times New Roman" w:eastAsia="黑体"/>
          <w:b/>
          <w:sz w:val="30"/>
          <w:szCs w:val="30"/>
        </w:rPr>
        <w:t>发展思路</w:t>
      </w:r>
      <w:bookmarkEnd w:id="655"/>
    </w:p>
    <w:p w14:paraId="7ADB3131">
      <w:pPr>
        <w:pStyle w:val="269"/>
        <w:ind w:firstLine="560"/>
      </w:pPr>
      <w:r>
        <w:t>加大招商力度，布局产业聚集。在新能源汽车产业发展方面，根据国家产业振兴规划和自治区、包头市发展状况实际，顺应汽车行业电动化和智能化发展趋势，大力推动现有企业的转型升级，发展智能新能源车型。</w:t>
      </w:r>
    </w:p>
    <w:p w14:paraId="1E233989">
      <w:pPr>
        <w:pStyle w:val="269"/>
        <w:ind w:firstLine="560"/>
      </w:pPr>
      <w:r>
        <w:t>2021年包头市纳入了国家新能源汽车换电模式应用试点和燃料电池汽车示范应用城市群，以此为切入点，大力引进新能源汽车整车及配套企业，特别是发动机、齿轮箱等核心部件生产企业的引进，实现新能源产业链的补链。</w:t>
      </w:r>
    </w:p>
    <w:p w14:paraId="6A666C21">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6" w:name="_Toc192675947"/>
      <w:r>
        <w:rPr>
          <w:rFonts w:ascii="Times New Roman" w:hAnsi="Times New Roman" w:eastAsia="黑体"/>
          <w:b/>
          <w:sz w:val="30"/>
          <w:szCs w:val="30"/>
        </w:rPr>
        <w:t>发展重点</w:t>
      </w:r>
      <w:bookmarkEnd w:id="656"/>
    </w:p>
    <w:p w14:paraId="10EBAE2C">
      <w:pPr>
        <w:pStyle w:val="269"/>
        <w:ind w:firstLine="560"/>
      </w:pPr>
      <w:r>
        <w:t>聚焦矿山、园区、物流基地、城市运输、环卫等场景“富矿”优势，积极推动矿用卡车、物流牵引车、特种车辆、工程车辆等商用车绿色化转型升级。以北奔重型汽车集团、一机集团、富卓铸造有限公司等整车及零部件企业为依托，加大新能源汽车整车制造、新能源汽车装置、配件制造、新能源汽车相关设施三大类新能源产业产业链打造。</w:t>
      </w:r>
    </w:p>
    <w:p w14:paraId="3DD6DDDA">
      <w:pPr>
        <w:pStyle w:val="269"/>
        <w:ind w:firstLine="0" w:firstLineChars="0"/>
        <w:jc w:val="center"/>
      </w:pPr>
      <w:r>
        <w:object>
          <v:shape id="_x0000_i1032" o:spt="75" type="#_x0000_t75" style="height:283.25pt;width:301.6pt;" o:ole="t" filled="f" o:preferrelative="t" stroked="f" coordsize="21600,21600">
            <v:path/>
            <v:fill on="f" focussize="0,0"/>
            <v:stroke on="f" joinstyle="miter"/>
            <v:imagedata r:id="rId38" o:title=""/>
            <o:lock v:ext="edit" aspectratio="t"/>
            <w10:wrap type="none"/>
            <w10:anchorlock/>
          </v:shape>
          <o:OLEObject Type="Embed" ProgID="Visio.Drawing.11" ShapeID="_x0000_i1032" DrawAspect="Content" ObjectID="_1468075732" r:id="rId37">
            <o:LockedField>false</o:LockedField>
          </o:OLEObject>
        </w:object>
      </w:r>
    </w:p>
    <w:p w14:paraId="6FAA3815">
      <w:pPr>
        <w:pStyle w:val="269"/>
        <w:ind w:firstLine="0" w:firstLineChars="0"/>
        <w:jc w:val="center"/>
      </w:pPr>
      <w:r>
        <w:rPr>
          <w:rFonts w:hint="eastAsia"/>
        </w:rPr>
        <w:t>图6.4-1</w:t>
      </w:r>
      <w:r>
        <w:t xml:space="preserve"> </w:t>
      </w:r>
      <w:r>
        <w:rPr>
          <w:rFonts w:hint="eastAsia"/>
        </w:rPr>
        <w:t>新能源汽车产业链规划图</w:t>
      </w:r>
    </w:p>
    <w:p w14:paraId="76DB589C">
      <w:pPr>
        <w:pStyle w:val="264"/>
      </w:pPr>
      <w:r>
        <w:t>表6.4-1 新能源汽车产业发展重点</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4"/>
        <w:gridCol w:w="3186"/>
        <w:gridCol w:w="1502"/>
        <w:gridCol w:w="1291"/>
      </w:tblGrid>
      <w:tr w14:paraId="7981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B769A63">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w:t>
            </w:r>
          </w:p>
        </w:tc>
        <w:tc>
          <w:tcPr>
            <w:tcW w:w="3175" w:type="dxa"/>
            <w:vAlign w:val="center"/>
          </w:tcPr>
          <w:p w14:paraId="71FE9F9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重点方向</w:t>
            </w:r>
          </w:p>
        </w:tc>
        <w:tc>
          <w:tcPr>
            <w:tcW w:w="1497" w:type="dxa"/>
            <w:vAlign w:val="center"/>
          </w:tcPr>
          <w:p w14:paraId="4A014E8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p w14:paraId="01ADA23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c>
          <w:tcPr>
            <w:tcW w:w="1287" w:type="dxa"/>
            <w:vAlign w:val="center"/>
          </w:tcPr>
          <w:p w14:paraId="682F5AB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w:t>
            </w:r>
          </w:p>
          <w:p w14:paraId="2D29FB3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r>
      <w:tr w14:paraId="3D80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691C3E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新能源汽车整车</w:t>
            </w:r>
          </w:p>
        </w:tc>
        <w:tc>
          <w:tcPr>
            <w:tcW w:w="3008" w:type="dxa"/>
            <w:vAlign w:val="center"/>
          </w:tcPr>
          <w:p w14:paraId="260B915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整车制造</w:t>
            </w:r>
          </w:p>
        </w:tc>
        <w:tc>
          <w:tcPr>
            <w:tcW w:w="1418" w:type="dxa"/>
            <w:vMerge w:val="restart"/>
            <w:vAlign w:val="center"/>
          </w:tcPr>
          <w:p w14:paraId="54763CEF">
            <w:pPr>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150亿元</w:t>
            </w:r>
          </w:p>
        </w:tc>
        <w:tc>
          <w:tcPr>
            <w:tcW w:w="1220" w:type="dxa"/>
            <w:vMerge w:val="restart"/>
            <w:vAlign w:val="center"/>
          </w:tcPr>
          <w:p w14:paraId="4BC3C430">
            <w:pPr>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200亿元</w:t>
            </w:r>
          </w:p>
        </w:tc>
      </w:tr>
      <w:tr w14:paraId="27E6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B4F159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新能源汽车装置、配件</w:t>
            </w:r>
          </w:p>
        </w:tc>
        <w:tc>
          <w:tcPr>
            <w:tcW w:w="3175" w:type="dxa"/>
            <w:vAlign w:val="center"/>
          </w:tcPr>
          <w:p w14:paraId="218D735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电机、发动机</w:t>
            </w:r>
          </w:p>
          <w:p w14:paraId="565932E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新能源汽车储能装置</w:t>
            </w:r>
          </w:p>
          <w:p w14:paraId="1E7997A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新能源汽车零部件配件</w:t>
            </w:r>
          </w:p>
        </w:tc>
        <w:tc>
          <w:tcPr>
            <w:tcW w:w="1497" w:type="dxa"/>
            <w:vMerge w:val="continue"/>
            <w:vAlign w:val="center"/>
          </w:tcPr>
          <w:p w14:paraId="0A550A3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1287" w:type="dxa"/>
            <w:vMerge w:val="continue"/>
            <w:vAlign w:val="center"/>
          </w:tcPr>
          <w:p w14:paraId="6DF31FB8">
            <w:pPr>
              <w:widowControl/>
              <w:spacing w:line="240" w:lineRule="auto"/>
              <w:ind w:firstLine="0" w:firstLineChars="0"/>
              <w:jc w:val="center"/>
              <w:rPr>
                <w:color w:val="000000" w:themeColor="text1"/>
                <w:kern w:val="0"/>
                <w:sz w:val="21"/>
                <w:szCs w:val="21"/>
                <w14:textFill>
                  <w14:solidFill>
                    <w14:schemeClr w14:val="tx1"/>
                  </w14:solidFill>
                </w14:textFill>
              </w:rPr>
            </w:pPr>
          </w:p>
        </w:tc>
      </w:tr>
      <w:tr w14:paraId="226D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65306F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新能源汽车相关设施</w:t>
            </w:r>
          </w:p>
        </w:tc>
        <w:tc>
          <w:tcPr>
            <w:tcW w:w="3175" w:type="dxa"/>
            <w:vAlign w:val="center"/>
          </w:tcPr>
          <w:p w14:paraId="6A88F48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供能装置</w:t>
            </w:r>
          </w:p>
          <w:p w14:paraId="172BF1D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试验装置</w:t>
            </w:r>
          </w:p>
          <w:p w14:paraId="0F19BA5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其他相关</w:t>
            </w:r>
          </w:p>
        </w:tc>
        <w:tc>
          <w:tcPr>
            <w:tcW w:w="1497" w:type="dxa"/>
            <w:vMerge w:val="continue"/>
            <w:vAlign w:val="center"/>
          </w:tcPr>
          <w:p w14:paraId="5CE14DBD">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1287" w:type="dxa"/>
            <w:vMerge w:val="continue"/>
            <w:vAlign w:val="center"/>
          </w:tcPr>
          <w:p w14:paraId="0306CBD5">
            <w:pPr>
              <w:widowControl/>
              <w:spacing w:line="240" w:lineRule="auto"/>
              <w:ind w:firstLine="0" w:firstLineChars="0"/>
              <w:jc w:val="center"/>
              <w:rPr>
                <w:color w:val="000000" w:themeColor="text1"/>
                <w:kern w:val="0"/>
                <w:sz w:val="21"/>
                <w:szCs w:val="21"/>
                <w14:textFill>
                  <w14:solidFill>
                    <w14:schemeClr w14:val="tx1"/>
                  </w14:solidFill>
                </w14:textFill>
              </w:rPr>
            </w:pPr>
          </w:p>
        </w:tc>
      </w:tr>
      <w:tr w14:paraId="55C4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03" w:type="dxa"/>
            <w:gridSpan w:val="4"/>
            <w:vAlign w:val="center"/>
          </w:tcPr>
          <w:p w14:paraId="453A039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备注：</w:t>
            </w: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分类参考《工业战略性新兴产业分类》（2024）</w:t>
            </w:r>
          </w:p>
        </w:tc>
      </w:tr>
    </w:tbl>
    <w:p w14:paraId="6560DB06">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7" w:name="_Toc192675948"/>
      <w:r>
        <w:rPr>
          <w:rFonts w:ascii="Times New Roman" w:hAnsi="Times New Roman" w:eastAsia="黑体"/>
          <w:b/>
          <w:sz w:val="30"/>
          <w:szCs w:val="30"/>
        </w:rPr>
        <w:t>重点项目</w:t>
      </w:r>
      <w:bookmarkEnd w:id="657"/>
    </w:p>
    <w:p w14:paraId="77884130">
      <w:pPr>
        <w:pStyle w:val="264"/>
      </w:pPr>
      <w:r>
        <w:t>表6.4-2 新能源汽车产业重点项目</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531"/>
        <w:gridCol w:w="5328"/>
        <w:gridCol w:w="1207"/>
      </w:tblGrid>
      <w:tr w14:paraId="5A08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794C41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序号</w:t>
            </w:r>
          </w:p>
        </w:tc>
        <w:tc>
          <w:tcPr>
            <w:tcW w:w="0" w:type="auto"/>
            <w:vAlign w:val="center"/>
          </w:tcPr>
          <w:p w14:paraId="02473C9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项目</w:t>
            </w:r>
          </w:p>
        </w:tc>
        <w:tc>
          <w:tcPr>
            <w:tcW w:w="0" w:type="auto"/>
            <w:vAlign w:val="center"/>
          </w:tcPr>
          <w:p w14:paraId="71E37E8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建设内容</w:t>
            </w:r>
          </w:p>
        </w:tc>
        <w:tc>
          <w:tcPr>
            <w:tcW w:w="0" w:type="auto"/>
            <w:vAlign w:val="center"/>
          </w:tcPr>
          <w:p w14:paraId="0562067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经济效益</w:t>
            </w:r>
          </w:p>
        </w:tc>
      </w:tr>
      <w:tr w14:paraId="08011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7C8FDB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0" w:type="auto"/>
            <w:vAlign w:val="center"/>
          </w:tcPr>
          <w:p w14:paraId="092E688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丰田新能源重卡项目</w:t>
            </w:r>
          </w:p>
        </w:tc>
        <w:tc>
          <w:tcPr>
            <w:tcW w:w="0" w:type="auto"/>
            <w:vAlign w:val="center"/>
          </w:tcPr>
          <w:p w14:paraId="40ADA1E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丰田新能源拟与中车时代及中能氢汇公司在包头实施新能源重型卡车制造项目，合作开展氢能、电能重卡组装基地建设，规划规模不低于年产15万辆。</w:t>
            </w:r>
          </w:p>
        </w:tc>
        <w:tc>
          <w:tcPr>
            <w:tcW w:w="0" w:type="auto"/>
            <w:vAlign w:val="center"/>
          </w:tcPr>
          <w:p w14:paraId="43117AB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14AD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441A5E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0" w:type="auto"/>
            <w:vAlign w:val="center"/>
          </w:tcPr>
          <w:p w14:paraId="414069C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希迪智驾北方总部项目</w:t>
            </w:r>
          </w:p>
        </w:tc>
        <w:tc>
          <w:tcPr>
            <w:tcW w:w="0" w:type="auto"/>
            <w:vAlign w:val="center"/>
          </w:tcPr>
          <w:p w14:paraId="7CD35E6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希迪智驾拟将北方总部落户我市，并计划投资2-3亿元，打造集制造中心、销售中心和售后服务中心于一体的北方总部基地，重点打造年产1000台重卡生产线，预计年产值可达20亿元，并同步提供无人纯电智能矿卡的销售、维修及售后工作。该项目建成后，不仅可以满足本地相关产业和企业需求，还可外销至河北、陕西、宁夏、甘肃、新疆等省份，同时将与包头本地矿用车、载重汽车、工程机械制造的本地企业形成联动，实现我市智能制造产业链延链补链。</w:t>
            </w:r>
          </w:p>
        </w:tc>
        <w:tc>
          <w:tcPr>
            <w:tcW w:w="0" w:type="auto"/>
            <w:vAlign w:val="center"/>
          </w:tcPr>
          <w:p w14:paraId="53C5841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1AFF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F656D8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w:t>
            </w:r>
          </w:p>
        </w:tc>
        <w:tc>
          <w:tcPr>
            <w:tcW w:w="0" w:type="auto"/>
            <w:vAlign w:val="center"/>
          </w:tcPr>
          <w:p w14:paraId="03C1014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主线科技商用车智能支架项目</w:t>
            </w:r>
          </w:p>
        </w:tc>
        <w:tc>
          <w:tcPr>
            <w:tcW w:w="0" w:type="auto"/>
            <w:vAlign w:val="center"/>
          </w:tcPr>
          <w:p w14:paraId="1BA7B82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项目将以新能源智能网联商用车的市场规模化、产业化应用为目标，在包头市布局建设主线科技包头新能源智能网联商用车运营中心。企业拟与北奔重汽、天盛重工等本地商用车企业及地方政府深度合作，围绕新能源商用车产业链上下游如整车制造装配、智能驾驶、零部件设备、高精地图、智能交通、芯片与集成电路等企业产品方案，结合主线科技人工智能技术、产品、运营优势经验，打造包头新能源智能网联商用车解决方案。目前，主线科技已与北奔重汽联合研发了内蒙古自治区首台新能源智能网联无人驾驶卡车、无人驾驶平板车等车型，预计2023年底有100台合作车辆的订单销售，主线科技联合北奔重汽针对机场场景打造的无人驾驶专用车辆预计于2023年底前在鄂州机场投入运营，市场空间规模大。</w:t>
            </w:r>
          </w:p>
        </w:tc>
        <w:tc>
          <w:tcPr>
            <w:tcW w:w="0" w:type="auto"/>
            <w:vAlign w:val="center"/>
          </w:tcPr>
          <w:p w14:paraId="006CC1F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352F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16E276C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4</w:t>
            </w:r>
          </w:p>
        </w:tc>
        <w:tc>
          <w:tcPr>
            <w:tcW w:w="0" w:type="auto"/>
            <w:tcBorders>
              <w:bottom w:val="single" w:color="auto" w:sz="4" w:space="0"/>
            </w:tcBorders>
            <w:vAlign w:val="center"/>
          </w:tcPr>
          <w:p w14:paraId="56EF292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包头市天盛重工有限公司具备年产宽体自卸车1000台项目</w:t>
            </w:r>
          </w:p>
        </w:tc>
        <w:tc>
          <w:tcPr>
            <w:tcW w:w="0" w:type="auto"/>
            <w:tcBorders>
              <w:bottom w:val="single" w:color="auto" w:sz="4" w:space="0"/>
            </w:tcBorders>
            <w:vAlign w:val="center"/>
          </w:tcPr>
          <w:p w14:paraId="534B55B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该公司研发出具有完全自主知识产权的ET100型纯电动矿用宽体自卸车，采用宁德时代的碳酸锂电池，容量380度电，续航里程达到200公里，1小时完成充电，该车型填补了这一领域的空白。</w:t>
            </w:r>
          </w:p>
        </w:tc>
        <w:tc>
          <w:tcPr>
            <w:tcW w:w="0" w:type="auto"/>
            <w:tcBorders>
              <w:bottom w:val="single" w:color="auto" w:sz="4" w:space="0"/>
            </w:tcBorders>
            <w:vAlign w:val="center"/>
          </w:tcPr>
          <w:p w14:paraId="38B8DD9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年产值达5亿元</w:t>
            </w:r>
          </w:p>
        </w:tc>
      </w:tr>
      <w:tr w14:paraId="72CE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bottom w:val="single" w:color="auto" w:sz="4" w:space="0"/>
            </w:tcBorders>
            <w:vAlign w:val="center"/>
          </w:tcPr>
          <w:p w14:paraId="672D033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w:t>
            </w:r>
          </w:p>
        </w:tc>
        <w:tc>
          <w:tcPr>
            <w:tcW w:w="0" w:type="auto"/>
            <w:tcBorders>
              <w:bottom w:val="single" w:color="auto" w:sz="4" w:space="0"/>
            </w:tcBorders>
            <w:vAlign w:val="center"/>
          </w:tcPr>
          <w:p w14:paraId="38EBA26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北京氢璞创能科技有限公司氢燃料发动机装备生产及车辆运营基地项目</w:t>
            </w:r>
          </w:p>
        </w:tc>
        <w:tc>
          <w:tcPr>
            <w:tcW w:w="0" w:type="auto"/>
            <w:tcBorders>
              <w:bottom w:val="single" w:color="auto" w:sz="4" w:space="0"/>
            </w:tcBorders>
            <w:vAlign w:val="center"/>
          </w:tcPr>
          <w:p w14:paraId="66764B2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项目投资建设氢燃料发动机装备生产及车辆运营基地项目，项目总投资约8.28亿元，一期项目总投资约3.28亿元，固定资产投资6000万元，投资建设2000台/套氢燃料发动机产线，叉车、无人机等装备生产线；流动资金投资2.68亿元，用于220辆氢能重卡采购、运营以及设立销售公司等，预计年产值可达6-10 亿元；二期项目总投资约5亿元，固定资产投资1.4亿元，投资扩建5000台/套氢燃料发动机产线和10000台/套电堆产线；流动资金投资3.6亿元，用于300辆氢能重卡采购及运营， </w:t>
            </w:r>
          </w:p>
        </w:tc>
        <w:tc>
          <w:tcPr>
            <w:tcW w:w="0" w:type="auto"/>
            <w:tcBorders>
              <w:bottom w:val="single" w:color="auto" w:sz="4" w:space="0"/>
            </w:tcBorders>
            <w:vAlign w:val="center"/>
          </w:tcPr>
          <w:p w14:paraId="245AB19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预计年产值可达30亿元，解决就业400余人。</w:t>
            </w:r>
          </w:p>
        </w:tc>
      </w:tr>
      <w:tr w14:paraId="1B8E1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top w:val="single" w:color="auto" w:sz="4" w:space="0"/>
              <w:left w:val="nil"/>
              <w:bottom w:val="nil"/>
              <w:right w:val="nil"/>
            </w:tcBorders>
            <w:vAlign w:val="center"/>
          </w:tcPr>
          <w:p w14:paraId="65C8C763">
            <w:pPr>
              <w:widowControl/>
              <w:spacing w:line="240" w:lineRule="auto"/>
              <w:ind w:firstLine="0" w:firstLineChars="0"/>
              <w:jc w:val="center"/>
              <w:rPr>
                <w:color w:val="000000" w:themeColor="text1"/>
                <w:kern w:val="0"/>
                <w:sz w:val="21"/>
                <w:szCs w:val="21"/>
                <w14:textFill>
                  <w14:solidFill>
                    <w14:schemeClr w14:val="tx1"/>
                  </w14:solidFill>
                </w14:textFill>
              </w:rPr>
            </w:pPr>
          </w:p>
          <w:p w14:paraId="0C1CF82B">
            <w:pPr>
              <w:widowControl/>
              <w:spacing w:line="240" w:lineRule="auto"/>
              <w:ind w:firstLine="0" w:firstLineChars="0"/>
              <w:jc w:val="center"/>
              <w:rPr>
                <w:rFonts w:hint="eastAsia"/>
                <w:color w:val="000000" w:themeColor="text1"/>
                <w:kern w:val="0"/>
                <w:sz w:val="21"/>
                <w:szCs w:val="21"/>
                <w14:textFill>
                  <w14:solidFill>
                    <w14:schemeClr w14:val="tx1"/>
                  </w14:solidFill>
                </w14:textFill>
              </w:rPr>
            </w:pPr>
          </w:p>
        </w:tc>
        <w:tc>
          <w:tcPr>
            <w:tcW w:w="0" w:type="auto"/>
            <w:tcBorders>
              <w:top w:val="single" w:color="auto" w:sz="4" w:space="0"/>
              <w:left w:val="nil"/>
              <w:bottom w:val="nil"/>
              <w:right w:val="nil"/>
            </w:tcBorders>
            <w:vAlign w:val="center"/>
          </w:tcPr>
          <w:p w14:paraId="3715DCD4">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tcBorders>
              <w:top w:val="single" w:color="auto" w:sz="4" w:space="0"/>
              <w:left w:val="nil"/>
              <w:bottom w:val="nil"/>
              <w:right w:val="nil"/>
            </w:tcBorders>
            <w:vAlign w:val="center"/>
          </w:tcPr>
          <w:p w14:paraId="2CB7FFA3">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tcBorders>
              <w:top w:val="single" w:color="auto" w:sz="4" w:space="0"/>
              <w:left w:val="nil"/>
              <w:bottom w:val="nil"/>
              <w:right w:val="nil"/>
            </w:tcBorders>
            <w:vAlign w:val="center"/>
          </w:tcPr>
          <w:p w14:paraId="790F078A">
            <w:pPr>
              <w:widowControl/>
              <w:spacing w:line="240" w:lineRule="auto"/>
              <w:ind w:firstLine="0" w:firstLineChars="0"/>
              <w:jc w:val="center"/>
              <w:rPr>
                <w:color w:val="000000" w:themeColor="text1"/>
                <w:kern w:val="0"/>
                <w:sz w:val="21"/>
                <w:szCs w:val="21"/>
                <w14:textFill>
                  <w14:solidFill>
                    <w14:schemeClr w14:val="tx1"/>
                  </w14:solidFill>
                </w14:textFill>
              </w:rPr>
            </w:pPr>
          </w:p>
        </w:tc>
      </w:tr>
    </w:tbl>
    <w:p w14:paraId="16871446">
      <w:pPr>
        <w:pStyle w:val="97"/>
        <w:numPr>
          <w:ilvl w:val="1"/>
          <w:numId w:val="6"/>
        </w:numPr>
        <w:adjustRightInd w:val="0"/>
        <w:snapToGrid w:val="0"/>
        <w:spacing w:before="240" w:beforeLines="100"/>
        <w:ind w:firstLineChars="0"/>
        <w:jc w:val="left"/>
        <w:outlineLvl w:val="1"/>
        <w:rPr>
          <w:rFonts w:ascii="Times New Roman" w:hAnsi="Times New Roman" w:eastAsia="黑体"/>
          <w:b/>
          <w:sz w:val="30"/>
          <w:szCs w:val="30"/>
        </w:rPr>
      </w:pPr>
      <w:r>
        <w:rPr>
          <w:rFonts w:ascii="Times New Roman" w:hAnsi="Times New Roman" w:eastAsia="黑体"/>
          <w:b/>
          <w:sz w:val="30"/>
          <w:szCs w:val="30"/>
        </w:rPr>
        <w:t xml:space="preserve"> </w:t>
      </w:r>
      <w:bookmarkStart w:id="658" w:name="_Toc192675949"/>
      <w:r>
        <w:rPr>
          <w:rFonts w:ascii="Times New Roman" w:hAnsi="Times New Roman" w:eastAsia="黑体"/>
          <w:b/>
          <w:sz w:val="30"/>
          <w:szCs w:val="30"/>
        </w:rPr>
        <w:t>新一代信息技术产业</w:t>
      </w:r>
      <w:bookmarkEnd w:id="658"/>
    </w:p>
    <w:p w14:paraId="5F0E2E2D">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59" w:name="_Toc192675950"/>
      <w:r>
        <w:rPr>
          <w:rFonts w:ascii="Times New Roman" w:hAnsi="Times New Roman" w:eastAsia="黑体"/>
          <w:b/>
          <w:sz w:val="30"/>
          <w:szCs w:val="30"/>
        </w:rPr>
        <w:t>发展趋势</w:t>
      </w:r>
      <w:bookmarkEnd w:id="659"/>
    </w:p>
    <w:p w14:paraId="3D59C4E8">
      <w:pPr>
        <w:pStyle w:val="269"/>
        <w:ind w:firstLine="560"/>
      </w:pPr>
      <w:r>
        <w:t>信息技术产业是运用信息手段和技术，收集、整理、储存、传递信息情报，提供信息服务，并提供相应的信息手段、信息技术等服务的产业。信息技术产业包含从事信息的生产、流通和销售信息以及利用信息提供服务的产业部门。新一代信息技术主要包括六个方面，分别是物联网、以云计算为代表的高端软件、三网融合、高性能集成电路、新型平板显示和下一代通信网络。新一代信息技术作为国家重点支持和扶持的七大战略性新兴产业之一，是“中国制造 2025”的十大重点领域之一。党的十八大以来，我国新一代信息技术产业规模迈上新台阶，产业赋能、赋值、赋智作用深入显现，“十四五期间，我国将加大对新一代信息技术产业发展支持，持续增强新一代信息技术产业韧性，充分释放发展潜力。</w:t>
      </w:r>
    </w:p>
    <w:p w14:paraId="4F2D9B8C">
      <w:pPr>
        <w:pStyle w:val="269"/>
        <w:ind w:firstLine="560"/>
      </w:pPr>
      <w:r>
        <w:t>根据《“十四五”规划纲要》，“十四五”期间，我国新一代信息技术产业持续向“数字产业化、产业数字化”的方向发展。一方面，培育壮大人工智能、大数据、区块链、云计算、网络安全等新兴数字产业：另一方面，依托新一代信息技术产业，传统产业也将在“十四五”期间深入实施数字化改造升级。</w:t>
      </w:r>
    </w:p>
    <w:p w14:paraId="6292E474">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60" w:name="_Toc192675951"/>
      <w:r>
        <w:rPr>
          <w:rFonts w:ascii="Times New Roman" w:hAnsi="Times New Roman" w:eastAsia="黑体"/>
          <w:b/>
          <w:sz w:val="30"/>
          <w:szCs w:val="30"/>
        </w:rPr>
        <w:t>发展思路</w:t>
      </w:r>
      <w:bookmarkEnd w:id="660"/>
    </w:p>
    <w:p w14:paraId="12D4B6C7">
      <w:pPr>
        <w:pStyle w:val="269"/>
        <w:ind w:firstLine="560"/>
      </w:pPr>
      <w:r>
        <w:t>围绕传统产业改造升级和两化融合需求，重点发展5G、工业互联网、新兴软件开发、关键电子材料制造等产业，构建基础坚实、技术领先、创新活跃的新一代信息技术产业高地。</w:t>
      </w:r>
    </w:p>
    <w:p w14:paraId="153C18A2">
      <w:pPr>
        <w:pStyle w:val="269"/>
        <w:ind w:firstLine="560"/>
      </w:pPr>
      <w:r>
        <w:t>布局以人工智能为引领的新一代信息技术产业，持续推进互联网、大数据、人工智能与实体经济深度融合，加快拓展智能制造、智能金融、智能驾驶、智能医疗等“智能+”应用场景，着力打造人工智能产业引领下的新一代信息技术创新策源地、应用示范地和产业集群地。</w:t>
      </w:r>
    </w:p>
    <w:p w14:paraId="6676EB02">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61" w:name="_Toc192675952"/>
      <w:r>
        <w:rPr>
          <w:rFonts w:ascii="Times New Roman" w:hAnsi="Times New Roman" w:eastAsia="黑体"/>
          <w:b/>
          <w:sz w:val="30"/>
          <w:szCs w:val="30"/>
        </w:rPr>
        <w:t>发展重点</w:t>
      </w:r>
      <w:bookmarkEnd w:id="661"/>
    </w:p>
    <w:p w14:paraId="43E1DD89">
      <w:pPr>
        <w:pStyle w:val="269"/>
        <w:ind w:firstLine="560"/>
      </w:pPr>
      <w:r>
        <w:t>近年来，随着互联网、大数据、人工智能等新技术兴起，以及以5G为首的新基建项目的加速推进，国内电子材料产业取得了长足的进步，形成了较为完整的产业体系，产业规模稳步增长，中高端电子材料产品转型升级速度加快。</w:t>
      </w:r>
    </w:p>
    <w:p w14:paraId="01595846">
      <w:pPr>
        <w:pStyle w:val="269"/>
        <w:ind w:firstLine="560"/>
      </w:pPr>
      <w:r>
        <w:t>新一代信息技术产业位居九大战略性新兴产业之首。新一代信息技术产业包括下一代信息网络产业、电子核心产业、新兴软件和新型信息技术服务、互联网与云计算大数据服务、人工智能等行业，其应用横跨国民经济中的农业、工业和服务业等三大产业。</w:t>
      </w:r>
    </w:p>
    <w:p w14:paraId="0140C393">
      <w:pPr>
        <w:pStyle w:val="269"/>
        <w:ind w:firstLine="560"/>
      </w:pPr>
      <w:r>
        <w:t>围绕网络设备、新型计算机及信息终端设备、新型电子元器件及设备、高</w:t>
      </w:r>
      <w:r>
        <w:rPr>
          <w:rFonts w:hint="eastAsia"/>
        </w:rPr>
        <w:t>储</w:t>
      </w:r>
      <w:r>
        <w:t>能和关键电子材料、人工智能等战略新兴产业产业链，加大产业招商引资力度，推动建设节新一代信息技术产业集聚。</w:t>
      </w:r>
      <w:bookmarkStart w:id="662" w:name="_Toc134812756"/>
      <w:bookmarkStart w:id="663" w:name="_Toc134813255"/>
      <w:bookmarkStart w:id="664" w:name="_Toc132821452"/>
      <w:bookmarkStart w:id="665" w:name="_Toc134813392"/>
      <w:bookmarkStart w:id="666" w:name="_Toc134813118"/>
    </w:p>
    <w:p w14:paraId="492A730B">
      <w:pPr>
        <w:pStyle w:val="269"/>
        <w:ind w:firstLine="0" w:firstLineChars="0"/>
        <w:jc w:val="center"/>
      </w:pPr>
      <w:r>
        <w:object>
          <v:shape id="_x0000_i1033" o:spt="75" type="#_x0000_t75" style="height:290.05pt;width:353.9pt;" o:ole="t" filled="f" o:preferrelative="t" stroked="f" coordsize="21600,21600">
            <v:path/>
            <v:fill on="f" focussize="0,0"/>
            <v:stroke on="f" joinstyle="miter"/>
            <v:imagedata r:id="rId40" o:title=""/>
            <o:lock v:ext="edit" aspectratio="t"/>
            <w10:wrap type="none"/>
            <w10:anchorlock/>
          </v:shape>
          <o:OLEObject Type="Embed" ProgID="Visio.Drawing.11" ShapeID="_x0000_i1033" DrawAspect="Content" ObjectID="_1468075733" r:id="rId39">
            <o:LockedField>false</o:LockedField>
          </o:OLEObject>
        </w:object>
      </w:r>
    </w:p>
    <w:p w14:paraId="35CAC1D9">
      <w:pPr>
        <w:pStyle w:val="269"/>
        <w:ind w:firstLine="0" w:firstLineChars="0"/>
        <w:jc w:val="center"/>
      </w:pPr>
      <w:r>
        <w:rPr>
          <w:rFonts w:hint="eastAsia"/>
        </w:rPr>
        <w:t>图6.5-1</w:t>
      </w:r>
      <w:r>
        <w:t xml:space="preserve"> </w:t>
      </w:r>
      <w:r>
        <w:rPr>
          <w:rFonts w:hint="eastAsia"/>
        </w:rPr>
        <w:t>新一代信息技术产业链规划图</w:t>
      </w:r>
    </w:p>
    <w:p w14:paraId="032054E6">
      <w:pPr>
        <w:pStyle w:val="264"/>
      </w:pPr>
      <w:r>
        <w:t>表6.5.1 新一代信息技术产业发展重点</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2377"/>
        <w:gridCol w:w="1119"/>
        <w:gridCol w:w="1382"/>
        <w:gridCol w:w="1382"/>
      </w:tblGrid>
      <w:tr w14:paraId="79F7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0CA7BD85">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w:t>
            </w:r>
          </w:p>
        </w:tc>
        <w:tc>
          <w:tcPr>
            <w:tcW w:w="3496" w:type="dxa"/>
            <w:gridSpan w:val="2"/>
            <w:vAlign w:val="center"/>
          </w:tcPr>
          <w:p w14:paraId="3B19B9D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重点方向</w:t>
            </w:r>
          </w:p>
        </w:tc>
        <w:tc>
          <w:tcPr>
            <w:tcW w:w="0" w:type="auto"/>
            <w:vAlign w:val="center"/>
          </w:tcPr>
          <w:p w14:paraId="6392BC9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p w14:paraId="1EF3E76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c>
          <w:tcPr>
            <w:tcW w:w="0" w:type="auto"/>
            <w:vAlign w:val="center"/>
          </w:tcPr>
          <w:p w14:paraId="3CB9AB3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w:t>
            </w:r>
          </w:p>
          <w:p w14:paraId="14689B4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新增规模/产值</w:t>
            </w:r>
          </w:p>
        </w:tc>
      </w:tr>
      <w:tr w14:paraId="33E8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Align w:val="center"/>
          </w:tcPr>
          <w:p w14:paraId="1292BF5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新型计算机及信息终端设备制造</w:t>
            </w:r>
          </w:p>
        </w:tc>
        <w:tc>
          <w:tcPr>
            <w:tcW w:w="3496" w:type="dxa"/>
            <w:gridSpan w:val="2"/>
            <w:vAlign w:val="center"/>
          </w:tcPr>
          <w:p w14:paraId="3169D27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工业控制计算机及系统、雷达及配套设备</w:t>
            </w:r>
          </w:p>
        </w:tc>
        <w:tc>
          <w:tcPr>
            <w:tcW w:w="0" w:type="auto"/>
            <w:vMerge w:val="restart"/>
            <w:vAlign w:val="center"/>
          </w:tcPr>
          <w:p w14:paraId="0FC16BD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20亿元</w:t>
            </w:r>
          </w:p>
        </w:tc>
        <w:tc>
          <w:tcPr>
            <w:tcW w:w="0" w:type="auto"/>
            <w:vMerge w:val="restart"/>
            <w:vAlign w:val="center"/>
          </w:tcPr>
          <w:p w14:paraId="7F3F824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30亿元</w:t>
            </w:r>
          </w:p>
        </w:tc>
      </w:tr>
      <w:tr w14:paraId="031C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Merge w:val="restart"/>
            <w:vAlign w:val="center"/>
          </w:tcPr>
          <w:p w14:paraId="3CC7555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高储能和关键电子材料制造</w:t>
            </w:r>
          </w:p>
        </w:tc>
        <w:tc>
          <w:tcPr>
            <w:tcW w:w="3496" w:type="dxa"/>
            <w:gridSpan w:val="2"/>
            <w:vAlign w:val="center"/>
          </w:tcPr>
          <w:p w14:paraId="17B154C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锂离子电池、镍氢电池及其他电池</w:t>
            </w:r>
          </w:p>
        </w:tc>
        <w:tc>
          <w:tcPr>
            <w:tcW w:w="0" w:type="auto"/>
            <w:vMerge w:val="continue"/>
            <w:vAlign w:val="center"/>
          </w:tcPr>
          <w:p w14:paraId="73D992FD">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0" w:type="auto"/>
            <w:vMerge w:val="continue"/>
            <w:vAlign w:val="center"/>
          </w:tcPr>
          <w:p w14:paraId="04F90A4D">
            <w:pPr>
              <w:widowControl/>
              <w:spacing w:line="240" w:lineRule="auto"/>
              <w:ind w:firstLine="0" w:firstLineChars="0"/>
              <w:jc w:val="center"/>
              <w:rPr>
                <w:color w:val="000000" w:themeColor="text1"/>
                <w:kern w:val="0"/>
                <w:sz w:val="21"/>
                <w:szCs w:val="21"/>
                <w14:textFill>
                  <w14:solidFill>
                    <w14:schemeClr w14:val="tx1"/>
                  </w14:solidFill>
                </w14:textFill>
              </w:rPr>
            </w:pPr>
          </w:p>
        </w:tc>
      </w:tr>
      <w:tr w14:paraId="0DEB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Merge w:val="continue"/>
            <w:vAlign w:val="center"/>
          </w:tcPr>
          <w:p w14:paraId="00B3951B">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2377" w:type="dxa"/>
            <w:vAlign w:val="center"/>
          </w:tcPr>
          <w:p w14:paraId="0BF8AFB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石墨及碳素制品制造</w:t>
            </w:r>
          </w:p>
        </w:tc>
        <w:tc>
          <w:tcPr>
            <w:tcW w:w="0" w:type="auto"/>
            <w:vAlign w:val="center"/>
          </w:tcPr>
          <w:p w14:paraId="7DEFFE3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负极材料</w:t>
            </w:r>
          </w:p>
        </w:tc>
        <w:tc>
          <w:tcPr>
            <w:tcW w:w="0" w:type="auto"/>
            <w:vAlign w:val="center"/>
          </w:tcPr>
          <w:p w14:paraId="64877C4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30万吨</w:t>
            </w:r>
          </w:p>
        </w:tc>
        <w:tc>
          <w:tcPr>
            <w:tcW w:w="0" w:type="auto"/>
            <w:vAlign w:val="center"/>
          </w:tcPr>
          <w:p w14:paraId="3827DF7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20万吨</w:t>
            </w:r>
          </w:p>
        </w:tc>
      </w:tr>
      <w:tr w14:paraId="217D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3" w:type="dxa"/>
            <w:vMerge w:val="continue"/>
            <w:vAlign w:val="center"/>
          </w:tcPr>
          <w:p w14:paraId="1B323774">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2377" w:type="dxa"/>
            <w:vAlign w:val="center"/>
          </w:tcPr>
          <w:p w14:paraId="29DFC63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电子专用材料制造</w:t>
            </w:r>
          </w:p>
        </w:tc>
        <w:tc>
          <w:tcPr>
            <w:tcW w:w="0" w:type="auto"/>
            <w:vAlign w:val="center"/>
          </w:tcPr>
          <w:p w14:paraId="7FCABA3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正极材料</w:t>
            </w:r>
          </w:p>
        </w:tc>
        <w:tc>
          <w:tcPr>
            <w:tcW w:w="0" w:type="auto"/>
            <w:vAlign w:val="center"/>
          </w:tcPr>
          <w:p w14:paraId="6AB3BB3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5万吨</w:t>
            </w:r>
          </w:p>
        </w:tc>
        <w:tc>
          <w:tcPr>
            <w:tcW w:w="0" w:type="auto"/>
            <w:vAlign w:val="center"/>
          </w:tcPr>
          <w:p w14:paraId="6077591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3万吨</w:t>
            </w:r>
          </w:p>
        </w:tc>
      </w:tr>
      <w:tr w14:paraId="183D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vAlign w:val="center"/>
          </w:tcPr>
          <w:p w14:paraId="0D1B1CC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备注：</w:t>
            </w:r>
            <w:r>
              <w:rPr>
                <w:rFonts w:hint="eastAsia"/>
                <w:color w:val="000000" w:themeColor="text1"/>
                <w:kern w:val="0"/>
                <w:sz w:val="21"/>
                <w:szCs w:val="21"/>
                <w:lang w:eastAsia="zh-CN"/>
                <w14:textFill>
                  <w14:solidFill>
                    <w14:schemeClr w14:val="tx1"/>
                  </w14:solidFill>
                </w14:textFill>
              </w:rPr>
              <w:t>战略性新兴产业</w:t>
            </w:r>
            <w:r>
              <w:rPr>
                <w:color w:val="000000" w:themeColor="text1"/>
                <w:kern w:val="0"/>
                <w:sz w:val="21"/>
                <w:szCs w:val="21"/>
                <w14:textFill>
                  <w14:solidFill>
                    <w14:schemeClr w14:val="tx1"/>
                  </w14:solidFill>
                </w14:textFill>
              </w:rPr>
              <w:t>分类参考《工业战略性新兴产业分类》（2024）</w:t>
            </w:r>
          </w:p>
        </w:tc>
      </w:tr>
    </w:tbl>
    <w:p w14:paraId="49C81ADA">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67" w:name="_Toc192675953"/>
      <w:r>
        <w:rPr>
          <w:rFonts w:ascii="Times New Roman" w:hAnsi="Times New Roman" w:eastAsia="黑体"/>
          <w:b/>
          <w:sz w:val="30"/>
          <w:szCs w:val="30"/>
        </w:rPr>
        <w:t>重点项目</w:t>
      </w:r>
      <w:bookmarkEnd w:id="667"/>
    </w:p>
    <w:p w14:paraId="70097383">
      <w:pPr>
        <w:pStyle w:val="264"/>
      </w:pPr>
      <w:r>
        <w:t>表6.5.2 新一代信息技术产业重点项目</w:t>
      </w:r>
    </w:p>
    <w:tbl>
      <w:tblPr>
        <w:tblStyle w:val="6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522"/>
        <w:gridCol w:w="4832"/>
        <w:gridCol w:w="1716"/>
      </w:tblGrid>
      <w:tr w14:paraId="5939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2659E5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序号</w:t>
            </w:r>
          </w:p>
        </w:tc>
        <w:tc>
          <w:tcPr>
            <w:tcW w:w="0" w:type="auto"/>
            <w:vAlign w:val="center"/>
          </w:tcPr>
          <w:p w14:paraId="26B5D09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项目</w:t>
            </w:r>
          </w:p>
        </w:tc>
        <w:tc>
          <w:tcPr>
            <w:tcW w:w="0" w:type="auto"/>
            <w:vAlign w:val="center"/>
          </w:tcPr>
          <w:p w14:paraId="56E5A84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建设内容</w:t>
            </w:r>
          </w:p>
        </w:tc>
        <w:tc>
          <w:tcPr>
            <w:tcW w:w="0" w:type="auto"/>
            <w:vAlign w:val="center"/>
          </w:tcPr>
          <w:p w14:paraId="7F1157D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经济效益</w:t>
            </w:r>
          </w:p>
        </w:tc>
      </w:tr>
      <w:tr w14:paraId="660C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815F44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0" w:type="auto"/>
            <w:vAlign w:val="center"/>
          </w:tcPr>
          <w:p w14:paraId="57FCCD3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上海国轩数字能源科技有限公司5GWh动力电池PACK箱生产线项目</w:t>
            </w:r>
          </w:p>
        </w:tc>
        <w:tc>
          <w:tcPr>
            <w:tcW w:w="0" w:type="auto"/>
            <w:vAlign w:val="center"/>
          </w:tcPr>
          <w:p w14:paraId="229D9B2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该项目拟在包头装备制造产业园区新规划区投资建设动力电池、储能电池生产基地项目。项目总投资约80亿元，主要建设20GWh动力电池、储能电池电芯及配套PACK产线，建设周期五年</w:t>
            </w:r>
          </w:p>
        </w:tc>
        <w:tc>
          <w:tcPr>
            <w:tcW w:w="0" w:type="auto"/>
            <w:vAlign w:val="center"/>
          </w:tcPr>
          <w:p w14:paraId="09C7AD7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0AC0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94B15E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0" w:type="auto"/>
            <w:vAlign w:val="center"/>
          </w:tcPr>
          <w:p w14:paraId="2DA3A79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内蒙古清阳绿色能源科技有限公司锂离子电池回收处理项目</w:t>
            </w:r>
          </w:p>
        </w:tc>
        <w:tc>
          <w:tcPr>
            <w:tcW w:w="0" w:type="auto"/>
            <w:vAlign w:val="center"/>
          </w:tcPr>
          <w:p w14:paraId="2B610A4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项目总投资20亿元，占地面积200亩，年回收及梯次利用旧锂电池15万吨，生产铝箔，电极粉，隔膜等6万吨。产品用于储能领域。</w:t>
            </w:r>
          </w:p>
        </w:tc>
        <w:tc>
          <w:tcPr>
            <w:tcW w:w="0" w:type="auto"/>
            <w:vAlign w:val="center"/>
          </w:tcPr>
          <w:p w14:paraId="306A35A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年产值15亿元</w:t>
            </w:r>
          </w:p>
        </w:tc>
      </w:tr>
      <w:tr w14:paraId="6F4D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C64F94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w:t>
            </w:r>
          </w:p>
        </w:tc>
        <w:tc>
          <w:tcPr>
            <w:tcW w:w="0" w:type="auto"/>
            <w:vAlign w:val="center"/>
          </w:tcPr>
          <w:p w14:paraId="540E269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北京海博思创科技股份有限公司海博思创5gwh储能电池集成项目</w:t>
            </w:r>
          </w:p>
        </w:tc>
        <w:tc>
          <w:tcPr>
            <w:tcW w:w="0" w:type="auto"/>
            <w:vAlign w:val="center"/>
          </w:tcPr>
          <w:p w14:paraId="73FD2F7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计划投资建设智能化储能产业园，产业园将打造集科技研发、生产制造、运维服务、工程服务、物流储运、人才培养等功能于一体化的产业园，使其成为我国最具代表性的储能智能制造产业基地。产业园占地 220 余亩，规划总投资10亿元，包含年产 4GWh 储能制造工厂、智慧储能综合工程服务中心、储能产业人才孵化基地等。</w:t>
            </w:r>
          </w:p>
        </w:tc>
        <w:tc>
          <w:tcPr>
            <w:tcW w:w="0" w:type="auto"/>
            <w:vAlign w:val="center"/>
          </w:tcPr>
          <w:p w14:paraId="4C16956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产业园建成后满产年产值约55-60亿元，年利税3亿元以上，将带动地方就业超过200人。</w:t>
            </w:r>
          </w:p>
        </w:tc>
      </w:tr>
      <w:tr w14:paraId="47E7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4368D4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4</w:t>
            </w:r>
          </w:p>
        </w:tc>
        <w:tc>
          <w:tcPr>
            <w:tcW w:w="0" w:type="auto"/>
            <w:vAlign w:val="center"/>
          </w:tcPr>
          <w:p w14:paraId="37E52CA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福建巨电新能源股份有限公司新能源储能电站项目</w:t>
            </w:r>
          </w:p>
        </w:tc>
        <w:tc>
          <w:tcPr>
            <w:tcW w:w="0" w:type="auto"/>
            <w:vAlign w:val="center"/>
          </w:tcPr>
          <w:p w14:paraId="12CC8C0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    福建巨电新能源股份有限公司成立于2016年9月14日，注册资本3亿元人民币。公司经营范围包括锂离子电池、材料及电池生产设备的研发、制造与销售;锂离子电池配套结构件研发、制造和销售;锂离子电池应急电源、储能电池、电动工具电池的研发、制造与销售;电动汽车充放电产品、大型充换电设备、充换电站、车载充电机及新能源汽车配套件的研发、制造与销售;电源管理系统的研发、制造与销售;销售电子产品;自用设备、原材料的进口及自产产品出口业务;广告业务;自有物业服务管理;储能系统、电力储能电源系统、储能监控系统和储能能量管理系统的集成与销售;微电网系统与解决方案、新能源充放电整体解决方案的研发、生产和销售。</w:t>
            </w:r>
          </w:p>
        </w:tc>
        <w:tc>
          <w:tcPr>
            <w:tcW w:w="0" w:type="auto"/>
            <w:vAlign w:val="center"/>
          </w:tcPr>
          <w:p w14:paraId="5F46CC5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w:t>
            </w:r>
          </w:p>
        </w:tc>
      </w:tr>
      <w:tr w14:paraId="0FF7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9A547D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w:t>
            </w:r>
          </w:p>
        </w:tc>
        <w:tc>
          <w:tcPr>
            <w:tcW w:w="0" w:type="auto"/>
            <w:vAlign w:val="center"/>
          </w:tcPr>
          <w:p w14:paraId="0D9A1CD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乾运锂离子电池正极材料项目</w:t>
            </w:r>
          </w:p>
        </w:tc>
        <w:tc>
          <w:tcPr>
            <w:tcW w:w="0" w:type="auto"/>
            <w:vAlign w:val="center"/>
          </w:tcPr>
          <w:p w14:paraId="111A21D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建设锂离子电池正极材料自动化生产线32条，建成后将具备年产4万吨锂电三元正极材料的生产能力。</w:t>
            </w:r>
          </w:p>
        </w:tc>
        <w:tc>
          <w:tcPr>
            <w:tcW w:w="0" w:type="auto"/>
            <w:vAlign w:val="center"/>
          </w:tcPr>
          <w:p w14:paraId="29F92B5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预计年产值100亿元，年税收5亿元，新增就业200人</w:t>
            </w:r>
          </w:p>
        </w:tc>
      </w:tr>
      <w:tr w14:paraId="7799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6D22E5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6</w:t>
            </w:r>
          </w:p>
        </w:tc>
        <w:tc>
          <w:tcPr>
            <w:tcW w:w="0" w:type="auto"/>
            <w:vAlign w:val="center"/>
          </w:tcPr>
          <w:p w14:paraId="18E4104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内蒙古杉杉科技年产4万吨锂离子电池负极新能源材料加工项目</w:t>
            </w:r>
          </w:p>
        </w:tc>
        <w:tc>
          <w:tcPr>
            <w:tcW w:w="0" w:type="auto"/>
            <w:vAlign w:val="center"/>
          </w:tcPr>
          <w:p w14:paraId="198BFEA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建设年产4万吨锂离子电池负极材料粉碎处理能力，全部建成后。</w:t>
            </w:r>
          </w:p>
        </w:tc>
        <w:tc>
          <w:tcPr>
            <w:tcW w:w="0" w:type="auto"/>
            <w:vAlign w:val="center"/>
          </w:tcPr>
          <w:p w14:paraId="25B9C78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预计年产值可达5000万元，年税收750万元，解决就业100人以上</w:t>
            </w:r>
          </w:p>
        </w:tc>
      </w:tr>
      <w:bookmarkEnd w:id="662"/>
      <w:bookmarkEnd w:id="663"/>
      <w:bookmarkEnd w:id="664"/>
      <w:bookmarkEnd w:id="665"/>
      <w:bookmarkEnd w:id="666"/>
    </w:tbl>
    <w:p w14:paraId="21E0F63C">
      <w:pPr>
        <w:pStyle w:val="97"/>
        <w:numPr>
          <w:ilvl w:val="1"/>
          <w:numId w:val="6"/>
        </w:numPr>
        <w:adjustRightInd w:val="0"/>
        <w:snapToGrid w:val="0"/>
        <w:spacing w:before="240" w:beforeLines="100"/>
        <w:ind w:firstLineChars="0"/>
        <w:jc w:val="left"/>
        <w:outlineLvl w:val="1"/>
        <w:rPr>
          <w:rFonts w:ascii="Times New Roman" w:hAnsi="Times New Roman" w:eastAsia="黑体"/>
          <w:b/>
          <w:sz w:val="30"/>
          <w:szCs w:val="30"/>
        </w:rPr>
      </w:pPr>
      <w:bookmarkStart w:id="668" w:name="_Toc192675954"/>
      <w:r>
        <w:rPr>
          <w:rFonts w:ascii="Times New Roman" w:hAnsi="Times New Roman" w:eastAsia="黑体"/>
          <w:b/>
          <w:sz w:val="30"/>
          <w:szCs w:val="30"/>
        </w:rPr>
        <w:t>配套服务产业</w:t>
      </w:r>
      <w:bookmarkEnd w:id="668"/>
    </w:p>
    <w:p w14:paraId="0FE30085">
      <w:pPr>
        <w:pStyle w:val="97"/>
        <w:numPr>
          <w:ilvl w:val="1"/>
          <w:numId w:val="7"/>
        </w:numPr>
        <w:adjustRightInd w:val="0"/>
        <w:snapToGrid w:val="0"/>
        <w:ind w:firstLineChars="0"/>
        <w:jc w:val="left"/>
        <w:outlineLvl w:val="2"/>
        <w:rPr>
          <w:rFonts w:ascii="Times New Roman" w:hAnsi="Times New Roman" w:eastAsia="黑体"/>
          <w:b/>
          <w:vanish/>
          <w:sz w:val="30"/>
          <w:szCs w:val="30"/>
        </w:rPr>
      </w:pPr>
      <w:bookmarkStart w:id="669" w:name="_Toc150948007"/>
      <w:bookmarkEnd w:id="669"/>
      <w:bookmarkStart w:id="670" w:name="_Toc161133161"/>
      <w:bookmarkEnd w:id="670"/>
      <w:bookmarkStart w:id="671" w:name="_Toc161132321"/>
      <w:bookmarkEnd w:id="671"/>
      <w:bookmarkStart w:id="672" w:name="_Toc182320726"/>
      <w:bookmarkEnd w:id="672"/>
      <w:bookmarkStart w:id="673" w:name="_Toc159406789"/>
      <w:bookmarkEnd w:id="673"/>
      <w:bookmarkStart w:id="674" w:name="_Toc145341285"/>
      <w:bookmarkEnd w:id="674"/>
      <w:bookmarkStart w:id="675" w:name="_Toc145344529"/>
      <w:bookmarkEnd w:id="675"/>
      <w:bookmarkStart w:id="676" w:name="_Toc156553710"/>
      <w:bookmarkEnd w:id="676"/>
      <w:bookmarkStart w:id="677" w:name="_Toc148367129"/>
      <w:bookmarkEnd w:id="677"/>
      <w:bookmarkStart w:id="678" w:name="_Toc190952332"/>
      <w:bookmarkEnd w:id="678"/>
      <w:bookmarkStart w:id="679" w:name="_Toc192675955"/>
      <w:bookmarkEnd w:id="679"/>
      <w:bookmarkStart w:id="680" w:name="_Toc186205312"/>
      <w:bookmarkEnd w:id="680"/>
      <w:bookmarkStart w:id="681" w:name="_Toc156553080"/>
      <w:bookmarkEnd w:id="681"/>
      <w:bookmarkStart w:id="682" w:name="_Toc190952883"/>
      <w:bookmarkEnd w:id="682"/>
      <w:bookmarkStart w:id="683" w:name="_Toc162446361"/>
      <w:bookmarkEnd w:id="683"/>
    </w:p>
    <w:p w14:paraId="302641F7">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84" w:name="_Toc192675956"/>
      <w:r>
        <w:rPr>
          <w:rFonts w:ascii="Times New Roman" w:hAnsi="Times New Roman" w:eastAsia="黑体"/>
          <w:b/>
          <w:sz w:val="30"/>
          <w:szCs w:val="30"/>
        </w:rPr>
        <w:t>发展思路</w:t>
      </w:r>
      <w:bookmarkEnd w:id="684"/>
    </w:p>
    <w:p w14:paraId="54C5CC97">
      <w:pPr>
        <w:adjustRightInd w:val="0"/>
        <w:snapToGrid w:val="0"/>
        <w:ind w:firstLine="560"/>
        <w:jc w:val="left"/>
        <w:rPr>
          <w:szCs w:val="28"/>
        </w:rPr>
      </w:pPr>
      <w:r>
        <w:rPr>
          <w:bCs w:val="0"/>
          <w:color w:val="000000" w:themeColor="text1"/>
          <w14:textFill>
            <w14:solidFill>
              <w14:schemeClr w14:val="tx1"/>
            </w14:solidFill>
          </w14:textFill>
        </w:rPr>
        <w:t>配套产业不是园区发展的主导产业，但却是支撑园区建设、运</w:t>
      </w:r>
      <w:r>
        <w:rPr>
          <w:szCs w:val="28"/>
        </w:rPr>
        <w:t>行和发展的必要条件。本规划设计园区配套服务产业的总体思路如下：</w:t>
      </w:r>
    </w:p>
    <w:p w14:paraId="560B477E">
      <w:pPr>
        <w:adjustRightInd w:val="0"/>
        <w:snapToGrid w:val="0"/>
        <w:ind w:firstLine="562"/>
        <w:jc w:val="left"/>
        <w:rPr>
          <w:b/>
          <w:szCs w:val="28"/>
        </w:rPr>
      </w:pPr>
      <w:r>
        <w:rPr>
          <w:b/>
          <w:szCs w:val="28"/>
        </w:rPr>
        <w:t>（1）充分考虑园区产业特点和区域环境</w:t>
      </w:r>
    </w:p>
    <w:p w14:paraId="14497C04">
      <w:pPr>
        <w:adjustRightInd w:val="0"/>
        <w:snapToGrid w:val="0"/>
        <w:ind w:firstLine="560"/>
        <w:jc w:val="left"/>
        <w:rPr>
          <w:szCs w:val="28"/>
        </w:rPr>
      </w:pPr>
      <w:r>
        <w:rPr>
          <w:szCs w:val="28"/>
        </w:rPr>
        <w:t>本园区是以装备制造产业为主的专业园区，资源物流和重载产品物流需求较大；园区离中心市区较远，必要的商贸物流、餐饮酒店等生活服务也会有较大的需求，同时，医疗、教育等公共服务需求也需要配置。</w:t>
      </w:r>
    </w:p>
    <w:p w14:paraId="6C8BEC09">
      <w:pPr>
        <w:adjustRightInd w:val="0"/>
        <w:snapToGrid w:val="0"/>
        <w:ind w:firstLine="562"/>
        <w:jc w:val="left"/>
        <w:rPr>
          <w:szCs w:val="28"/>
        </w:rPr>
      </w:pPr>
      <w:r>
        <w:rPr>
          <w:b/>
          <w:szCs w:val="28"/>
        </w:rPr>
        <w:t>（2）坚持适用适度原则</w:t>
      </w:r>
    </w:p>
    <w:p w14:paraId="5E8D6A42">
      <w:pPr>
        <w:adjustRightInd w:val="0"/>
        <w:snapToGrid w:val="0"/>
        <w:ind w:firstLine="560"/>
        <w:jc w:val="left"/>
        <w:rPr>
          <w:szCs w:val="28"/>
        </w:rPr>
      </w:pPr>
      <w:r>
        <w:rPr>
          <w:szCs w:val="28"/>
        </w:rPr>
        <w:t xml:space="preserve">由于园区未来不作为人口集聚重点城市规划，配套产业的发展规模和节奏要实现园区内部配套设施“小系统”与外部基础设施“大系统”的有效对接，以保障配套产业对园区发展的支撑作用。在服务配套上要坚持内外并举原则，除园区配套必要、够用的基础服务外，重点是做好与公共基础设施的有效对接，充分利用社会基础设施和社会公共服务资源保障园区发展。 </w:t>
      </w:r>
    </w:p>
    <w:p w14:paraId="3D3123DC">
      <w:pPr>
        <w:adjustRightInd w:val="0"/>
        <w:snapToGrid w:val="0"/>
        <w:ind w:firstLine="560"/>
        <w:jc w:val="left"/>
        <w:rPr>
          <w:szCs w:val="28"/>
        </w:rPr>
      </w:pPr>
      <w:r>
        <w:rPr>
          <w:szCs w:val="28"/>
        </w:rPr>
        <w:t>基于上述设计理念，以服务园区发展为目标，装备制造产业园区的配套产业将重点发展现代物流、技术研发、金融保险、市场中介、建筑安装、节能环保等生产性服务业，商贸、酒店、餐饮等生活服务业，以及必要的教育、医疗等公共服务业。</w:t>
      </w:r>
    </w:p>
    <w:p w14:paraId="47604764">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85" w:name="_Toc192675957"/>
      <w:r>
        <w:rPr>
          <w:rFonts w:ascii="Times New Roman" w:hAnsi="Times New Roman" w:eastAsia="黑体"/>
          <w:b/>
          <w:sz w:val="30"/>
          <w:szCs w:val="30"/>
        </w:rPr>
        <w:t>配套产业发展重点及目标</w:t>
      </w:r>
      <w:bookmarkEnd w:id="685"/>
    </w:p>
    <w:p w14:paraId="537A1EC7">
      <w:pPr>
        <w:adjustRightInd w:val="0"/>
        <w:snapToGrid w:val="0"/>
        <w:ind w:firstLine="562"/>
        <w:jc w:val="left"/>
        <w:rPr>
          <w:b/>
          <w:szCs w:val="28"/>
        </w:rPr>
      </w:pPr>
      <w:r>
        <w:rPr>
          <w:b/>
          <w:szCs w:val="28"/>
        </w:rPr>
        <w:t>（1）现代物流</w:t>
      </w:r>
    </w:p>
    <w:p w14:paraId="6E9BAC82">
      <w:pPr>
        <w:adjustRightInd w:val="0"/>
        <w:snapToGrid w:val="0"/>
        <w:ind w:firstLine="560"/>
        <w:jc w:val="left"/>
        <w:rPr>
          <w:b/>
          <w:szCs w:val="28"/>
        </w:rPr>
      </w:pPr>
      <w:r>
        <w:rPr>
          <w:szCs w:val="28"/>
        </w:rPr>
        <w:t>根据园区工业发展物流需求，进一步加强园区物流信息平台、仓储中心、配送服务中心、露天货场、停车场、重型汽车销售等物流设施建设，加快形成生产加工、包装、货物集散、中转、配送、流通于一体的一站式服务管理体系，打造物畅其流、快捷准时、功能完善、设施齐全的一体化综合物流园区，建成以沿交通线物流节点为龙头的重要区域性物流中心。</w:t>
      </w:r>
    </w:p>
    <w:p w14:paraId="236C8F2C">
      <w:pPr>
        <w:adjustRightInd w:val="0"/>
        <w:snapToGrid w:val="0"/>
        <w:ind w:firstLine="562"/>
        <w:jc w:val="left"/>
        <w:rPr>
          <w:b/>
          <w:szCs w:val="28"/>
        </w:rPr>
      </w:pPr>
      <w:r>
        <w:rPr>
          <w:b/>
          <w:szCs w:val="28"/>
        </w:rPr>
        <w:t>（2）科技服务业</w:t>
      </w:r>
    </w:p>
    <w:p w14:paraId="407E55B9">
      <w:pPr>
        <w:adjustRightInd w:val="0"/>
        <w:snapToGrid w:val="0"/>
        <w:ind w:firstLine="560"/>
        <w:rPr>
          <w:szCs w:val="28"/>
        </w:rPr>
      </w:pPr>
      <w:r>
        <w:rPr>
          <w:szCs w:val="28"/>
        </w:rPr>
        <w:t>北大科技园是北京大学产学研创新体系在包头的综合运营发展平台，是将“科技势能”转化为“经济动能”的创新载体。园区通过就地转化包头研究院自主研发成果；引进国内外成熟科技成果到包头产业化；引进优质高新技术企业进行技术与资本嫁接；引进国内外行业龙头企业进行技术合作等发展途径，进行科技成果转化与产业化发展。积极引进先进制造、节能环保、新能源、新材料等战略性新兴产业科研成果转化，助力园区产业高质量发展。</w:t>
      </w:r>
    </w:p>
    <w:p w14:paraId="7EB2953F">
      <w:pPr>
        <w:adjustRightInd w:val="0"/>
        <w:snapToGrid w:val="0"/>
        <w:ind w:firstLine="562"/>
        <w:jc w:val="left"/>
        <w:rPr>
          <w:b/>
          <w:szCs w:val="28"/>
        </w:rPr>
      </w:pPr>
      <w:r>
        <w:rPr>
          <w:b/>
          <w:szCs w:val="28"/>
        </w:rPr>
        <w:t>（3）环保服务</w:t>
      </w:r>
    </w:p>
    <w:p w14:paraId="0DD8D037">
      <w:pPr>
        <w:adjustRightInd w:val="0"/>
        <w:snapToGrid w:val="0"/>
        <w:ind w:firstLine="560"/>
        <w:jc w:val="left"/>
        <w:rPr>
          <w:szCs w:val="28"/>
        </w:rPr>
      </w:pPr>
      <w:r>
        <w:rPr>
          <w:szCs w:val="28"/>
        </w:rPr>
        <w:t>针对园区节能减排方面的巨大需求，大力引进和发展节能服务产业，推动节能服务公司为用能单位提供节能诊断、设计、融资、改造、运行等“一条龙”服务。开展</w:t>
      </w:r>
      <w:r>
        <w:fldChar w:fldCharType="begin"/>
      </w:r>
      <w:r>
        <w:instrText xml:space="preserve"> HYPERLINK "http://xm.cye.com.cn/" \t "_blank" </w:instrText>
      </w:r>
      <w:r>
        <w:fldChar w:fldCharType="separate"/>
      </w:r>
      <w:r>
        <w:t>环保</w:t>
      </w:r>
      <w:r>
        <w:fldChar w:fldCharType="end"/>
      </w:r>
      <w:r>
        <w:rPr>
          <w:szCs w:val="28"/>
        </w:rPr>
        <w:t>服务，建立以资金融通和投入、工程设计和建设、设施运营和维护、技术咨询和人才培训等为主要内容的</w:t>
      </w:r>
      <w:r>
        <w:fldChar w:fldCharType="begin"/>
      </w:r>
      <w:r>
        <w:instrText xml:space="preserve"> HYPERLINK "http://xm.cye.com.cn/" \t "_blank" </w:instrText>
      </w:r>
      <w:r>
        <w:fldChar w:fldCharType="separate"/>
      </w:r>
      <w:r>
        <w:t>环保</w:t>
      </w:r>
      <w:r>
        <w:fldChar w:fldCharType="end"/>
      </w:r>
      <w:r>
        <w:rPr>
          <w:szCs w:val="28"/>
        </w:rPr>
        <w:t>产业服务体系，加大污染治理设施特许经营实施力度。</w:t>
      </w:r>
    </w:p>
    <w:p w14:paraId="0BD9CF23">
      <w:pPr>
        <w:adjustRightInd w:val="0"/>
        <w:snapToGrid w:val="0"/>
        <w:ind w:firstLine="560"/>
        <w:jc w:val="left"/>
        <w:rPr>
          <w:szCs w:val="28"/>
        </w:rPr>
      </w:pPr>
    </w:p>
    <w:p w14:paraId="38D53191">
      <w:pPr>
        <w:adjustRightInd w:val="0"/>
        <w:snapToGrid w:val="0"/>
        <w:ind w:firstLine="560"/>
        <w:jc w:val="left"/>
        <w:rPr>
          <w:rFonts w:hint="eastAsia"/>
          <w:szCs w:val="28"/>
        </w:rPr>
      </w:pPr>
    </w:p>
    <w:p w14:paraId="1E468485">
      <w:pPr>
        <w:adjustRightInd w:val="0"/>
        <w:snapToGrid w:val="0"/>
        <w:ind w:firstLine="562"/>
        <w:jc w:val="left"/>
        <w:rPr>
          <w:b/>
          <w:szCs w:val="28"/>
        </w:rPr>
      </w:pPr>
      <w:r>
        <w:rPr>
          <w:b/>
          <w:szCs w:val="28"/>
        </w:rPr>
        <w:t>（4）再生资源综合利用产业</w:t>
      </w:r>
    </w:p>
    <w:p w14:paraId="288429D4">
      <w:pPr>
        <w:adjustRightInd w:val="0"/>
        <w:snapToGrid w:val="0"/>
        <w:ind w:firstLine="560"/>
        <w:jc w:val="left"/>
        <w:rPr>
          <w:szCs w:val="28"/>
        </w:rPr>
      </w:pPr>
      <w:r>
        <w:rPr>
          <w:szCs w:val="28"/>
        </w:rPr>
        <w:t>以包头市“无废城市”试点建设为契机，发展再生资源开发利用，重点发展废旧硅料高质化回收利用和废旧汽车绿色拆解，实现资源再生利用规模化、高质化，建立示范基地。</w:t>
      </w:r>
    </w:p>
    <w:p w14:paraId="7AEFF396">
      <w:pPr>
        <w:adjustRightInd w:val="0"/>
        <w:snapToGrid w:val="0"/>
        <w:ind w:firstLine="560"/>
        <w:jc w:val="left"/>
        <w:rPr>
          <w:szCs w:val="28"/>
        </w:rPr>
      </w:pPr>
      <w:r>
        <w:rPr>
          <w:szCs w:val="28"/>
        </w:rPr>
        <w:t>1）报废汽车回收拆解及零部件综合利用</w:t>
      </w:r>
    </w:p>
    <w:p w14:paraId="5F3A6B35">
      <w:pPr>
        <w:adjustRightInd w:val="0"/>
        <w:snapToGrid w:val="0"/>
        <w:ind w:firstLine="560"/>
        <w:jc w:val="left"/>
        <w:rPr>
          <w:szCs w:val="28"/>
        </w:rPr>
      </w:pPr>
      <w:r>
        <w:rPr>
          <w:szCs w:val="28"/>
        </w:rPr>
        <w:t>引进汽车自动化拆解、资源深加工、零部件再利用技术和设备，建立报废汽车回收拆解基地，按照《报废机动车回收拆解企业技术规范》的最新要求，培育报废汽车回收拆解骨干企业，引导企业建设报废汽车拆解生产线，健全完善高效拆解设施设备、安全环保设施设备、电子监控等设施设备，开展精细拆解，拓展下游产业链。</w:t>
      </w:r>
    </w:p>
    <w:p w14:paraId="1C3B7990">
      <w:pPr>
        <w:adjustRightInd w:val="0"/>
        <w:snapToGrid w:val="0"/>
        <w:ind w:firstLine="560"/>
        <w:jc w:val="left"/>
        <w:rPr>
          <w:szCs w:val="28"/>
        </w:rPr>
      </w:pPr>
      <w:r>
        <w:rPr>
          <w:szCs w:val="28"/>
        </w:rPr>
        <w:t>2）含硅废料回收再利用</w:t>
      </w:r>
    </w:p>
    <w:p w14:paraId="7EFED7BE">
      <w:pPr>
        <w:adjustRightInd w:val="0"/>
        <w:snapToGrid w:val="0"/>
        <w:ind w:firstLine="560"/>
        <w:rPr>
          <w:szCs w:val="28"/>
        </w:rPr>
      </w:pPr>
      <w:r>
        <w:rPr>
          <w:szCs w:val="28"/>
        </w:rPr>
        <w:t>引进废金属硅粉、废旧硅片、太阳能电池及其他含硅废料等废旧硅料回收处置企业，促进硅回收及再生产业形成较为完善的体系，从而发展成更加成熟的硅再生行业，助力园区光伏制造企业高质量发展。</w:t>
      </w:r>
    </w:p>
    <w:p w14:paraId="297F3E41">
      <w:pPr>
        <w:adjustRightInd w:val="0"/>
        <w:snapToGrid w:val="0"/>
        <w:ind w:firstLine="560"/>
        <w:rPr>
          <w:szCs w:val="28"/>
        </w:rPr>
      </w:pPr>
      <w:r>
        <w:rPr>
          <w:szCs w:val="28"/>
        </w:rPr>
        <w:t>3）其他废旧资源回收再利用</w:t>
      </w:r>
    </w:p>
    <w:p w14:paraId="154EB86A">
      <w:pPr>
        <w:adjustRightInd w:val="0"/>
        <w:snapToGrid w:val="0"/>
        <w:ind w:firstLine="560"/>
        <w:rPr>
          <w:szCs w:val="28"/>
        </w:rPr>
      </w:pPr>
      <w:r>
        <w:rPr>
          <w:szCs w:val="28"/>
        </w:rPr>
        <w:t xml:space="preserve">结合园区产业布局，支持第三方专业回收企业开展退役风电、光伏设备回收业务。支持发展退役新能源设备拆除、运输、回收、拆解、利用“一站式”服务模式。鼓励生产制造企业、发电企业、运营企业、回收企业、利用企业建立长效合作机制，畅通回收利用渠道，加强上下游产业衔接协同。 </w:t>
      </w:r>
    </w:p>
    <w:p w14:paraId="34C5B45D">
      <w:pPr>
        <w:adjustRightInd w:val="0"/>
        <w:snapToGrid w:val="0"/>
        <w:ind w:firstLine="560"/>
        <w:rPr>
          <w:szCs w:val="28"/>
        </w:rPr>
      </w:pPr>
      <w:r>
        <w:rPr>
          <w:szCs w:val="28"/>
        </w:rPr>
        <w:t>重点聚焦风电机组中的基础、塔架、叶片、机舱、发电机、齿轮箱、电控柜等部件，光伏组件中的光伏层压件、边框、接线盒等部件开展高水平再生利用，以及新能源电池的回收再利用。</w:t>
      </w:r>
    </w:p>
    <w:p w14:paraId="45279495">
      <w:pPr>
        <w:adjustRightInd w:val="0"/>
        <w:snapToGrid w:val="0"/>
        <w:ind w:firstLine="560"/>
        <w:rPr>
          <w:szCs w:val="28"/>
        </w:rPr>
      </w:pPr>
    </w:p>
    <w:p w14:paraId="617333D4">
      <w:pPr>
        <w:adjustRightInd w:val="0"/>
        <w:snapToGrid w:val="0"/>
        <w:ind w:firstLine="560"/>
        <w:rPr>
          <w:rFonts w:hint="eastAsia"/>
          <w:szCs w:val="28"/>
        </w:rPr>
      </w:pPr>
    </w:p>
    <w:p w14:paraId="6E960E51">
      <w:pPr>
        <w:adjustRightInd w:val="0"/>
        <w:snapToGrid w:val="0"/>
        <w:ind w:firstLine="562"/>
        <w:jc w:val="left"/>
        <w:rPr>
          <w:b/>
          <w:szCs w:val="28"/>
        </w:rPr>
      </w:pPr>
      <w:r>
        <w:rPr>
          <w:b/>
          <w:szCs w:val="28"/>
        </w:rPr>
        <w:t>（5）装配式建筑和建安维修</w:t>
      </w:r>
    </w:p>
    <w:p w14:paraId="00548526">
      <w:pPr>
        <w:adjustRightInd w:val="0"/>
        <w:snapToGrid w:val="0"/>
        <w:ind w:firstLine="560"/>
        <w:jc w:val="left"/>
        <w:rPr>
          <w:szCs w:val="28"/>
        </w:rPr>
      </w:pPr>
      <w:r>
        <w:rPr>
          <w:szCs w:val="28"/>
        </w:rPr>
        <w:t>围绕园区项目大规模建设阶段形成的土建及设备安装需求，引进专业化的建筑安装施工队伍，创新工程承包方式，促进园区建筑业发展。针对园区所使用的大型机械设备的维修维护、配件供应等需求，引进专业化的生产企业，建设立足于园区、服务于区域的大型设备维修及物料供应基地。基于园区及入园企业基础设施建设，配套基础设施设备制造产业，如水泥制造产业、砼结构构建制造产业。</w:t>
      </w:r>
    </w:p>
    <w:p w14:paraId="1F1D8DFB">
      <w:pPr>
        <w:adjustRightInd w:val="0"/>
        <w:snapToGrid w:val="0"/>
        <w:ind w:firstLine="562"/>
        <w:jc w:val="left"/>
        <w:rPr>
          <w:b/>
          <w:szCs w:val="28"/>
        </w:rPr>
      </w:pPr>
      <w:r>
        <w:rPr>
          <w:b/>
          <w:szCs w:val="28"/>
        </w:rPr>
        <w:t>（6）生活服务业</w:t>
      </w:r>
    </w:p>
    <w:p w14:paraId="291D262D">
      <w:pPr>
        <w:adjustRightInd w:val="0"/>
        <w:snapToGrid w:val="0"/>
        <w:ind w:firstLine="560"/>
        <w:jc w:val="left"/>
        <w:rPr>
          <w:szCs w:val="28"/>
        </w:rPr>
      </w:pPr>
      <w:r>
        <w:rPr>
          <w:szCs w:val="28"/>
        </w:rPr>
        <w:t>以满足园区居民和产业工人生活消费为目标，以生物医药、社区服务、文化休闲、食品产业等生活性服务业为重点，不断提高园区居民的生活质量。把企业员工及其家属劳动就业、教育、妇幼保健等内容列入园区管理责任范围，促进园区和谐发展。</w:t>
      </w:r>
    </w:p>
    <w:p w14:paraId="732313EC">
      <w:pPr>
        <w:pStyle w:val="269"/>
        <w:ind w:firstLine="0" w:firstLineChars="0"/>
        <w:jc w:val="center"/>
      </w:pPr>
      <w:r>
        <w:object>
          <v:shape id="_x0000_i1034" o:spt="75" type="#_x0000_t75" style="height:292.1pt;width:343.7pt;" o:ole="t" filled="f" o:preferrelative="t" stroked="f" coordsize="21600,21600">
            <v:path/>
            <v:fill on="f" focussize="0,0"/>
            <v:stroke on="f" joinstyle="miter"/>
            <v:imagedata r:id="rId42" o:title=""/>
            <o:lock v:ext="edit" aspectratio="t"/>
            <w10:wrap type="none"/>
            <w10:anchorlock/>
          </v:shape>
          <o:OLEObject Type="Embed" ProgID="Visio.Drawing.11" ShapeID="_x0000_i1034" DrawAspect="Content" ObjectID="_1468075734" r:id="rId41">
            <o:LockedField>false</o:LockedField>
          </o:OLEObject>
        </w:object>
      </w:r>
    </w:p>
    <w:p w14:paraId="223FC662">
      <w:pPr>
        <w:pStyle w:val="269"/>
        <w:ind w:firstLine="0" w:firstLineChars="0"/>
        <w:jc w:val="center"/>
      </w:pPr>
      <w:r>
        <w:rPr>
          <w:rFonts w:hint="eastAsia"/>
        </w:rPr>
        <w:t>图6.6-1</w:t>
      </w:r>
      <w:r>
        <w:t xml:space="preserve"> </w:t>
      </w:r>
      <w:r>
        <w:rPr>
          <w:rFonts w:hint="eastAsia"/>
        </w:rPr>
        <w:t>配套服务产业链规划图</w:t>
      </w:r>
    </w:p>
    <w:p w14:paraId="30EA06C9">
      <w:pPr>
        <w:pStyle w:val="97"/>
        <w:numPr>
          <w:ilvl w:val="2"/>
          <w:numId w:val="6"/>
        </w:numPr>
        <w:adjustRightInd w:val="0"/>
        <w:snapToGrid w:val="0"/>
        <w:ind w:firstLineChars="0"/>
        <w:jc w:val="left"/>
        <w:outlineLvl w:val="2"/>
        <w:rPr>
          <w:rFonts w:ascii="Times New Roman" w:hAnsi="Times New Roman" w:eastAsia="黑体"/>
          <w:b/>
          <w:sz w:val="30"/>
          <w:szCs w:val="30"/>
        </w:rPr>
      </w:pPr>
      <w:bookmarkStart w:id="686" w:name="_Toc192675958"/>
      <w:r>
        <w:rPr>
          <w:rFonts w:ascii="Times New Roman" w:hAnsi="Times New Roman" w:eastAsia="黑体"/>
          <w:b/>
          <w:sz w:val="30"/>
          <w:szCs w:val="30"/>
        </w:rPr>
        <w:t>重点项目</w:t>
      </w:r>
      <w:bookmarkEnd w:id="686"/>
    </w:p>
    <w:p w14:paraId="5B22E69F">
      <w:pPr>
        <w:adjustRightInd w:val="0"/>
        <w:snapToGrid w:val="0"/>
        <w:spacing w:line="420" w:lineRule="auto"/>
        <w:ind w:firstLine="560"/>
        <w:rPr>
          <w:b/>
          <w:szCs w:val="28"/>
        </w:rPr>
      </w:pPr>
      <w:r>
        <w:rPr>
          <w:szCs w:val="28"/>
        </w:rPr>
        <w:t>配套服务产业规划的重点产业见表6.4-1。</w:t>
      </w:r>
    </w:p>
    <w:p w14:paraId="28E139AE">
      <w:pPr>
        <w:pStyle w:val="264"/>
      </w:pPr>
      <w:r>
        <w:t>表6.4-1 配套服务产业重点项目</w:t>
      </w:r>
    </w:p>
    <w:tbl>
      <w:tblPr>
        <w:tblStyle w:val="6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168"/>
        <w:gridCol w:w="4088"/>
        <w:gridCol w:w="1527"/>
      </w:tblGrid>
      <w:tr w14:paraId="56F1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shd w:val="clear" w:color="auto" w:fill="auto"/>
            <w:vAlign w:val="center"/>
          </w:tcPr>
          <w:p w14:paraId="7A4A363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序号</w:t>
            </w:r>
          </w:p>
        </w:tc>
        <w:tc>
          <w:tcPr>
            <w:tcW w:w="1272" w:type="pct"/>
            <w:shd w:val="clear" w:color="auto" w:fill="auto"/>
            <w:vAlign w:val="center"/>
          </w:tcPr>
          <w:p w14:paraId="675477C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项目名称</w:t>
            </w:r>
          </w:p>
        </w:tc>
        <w:tc>
          <w:tcPr>
            <w:tcW w:w="2398" w:type="pct"/>
            <w:shd w:val="clear" w:color="auto" w:fill="auto"/>
            <w:vAlign w:val="center"/>
          </w:tcPr>
          <w:p w14:paraId="482ED0B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建设规模</w:t>
            </w:r>
          </w:p>
        </w:tc>
        <w:tc>
          <w:tcPr>
            <w:tcW w:w="896" w:type="pct"/>
            <w:shd w:val="clear" w:color="auto" w:fill="auto"/>
            <w:vAlign w:val="center"/>
          </w:tcPr>
          <w:p w14:paraId="54DD4E3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总投资</w:t>
            </w:r>
          </w:p>
          <w:p w14:paraId="4F6F596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（亿元）</w:t>
            </w:r>
          </w:p>
        </w:tc>
      </w:tr>
      <w:tr w14:paraId="10E7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shd w:val="clear" w:color="auto" w:fill="auto"/>
            <w:vAlign w:val="center"/>
          </w:tcPr>
          <w:p w14:paraId="01E5CC5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1272" w:type="pct"/>
            <w:shd w:val="clear" w:color="auto" w:fill="auto"/>
            <w:vAlign w:val="center"/>
          </w:tcPr>
          <w:p w14:paraId="108061D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国惠现代物流项目</w:t>
            </w:r>
          </w:p>
        </w:tc>
        <w:tc>
          <w:tcPr>
            <w:tcW w:w="2398" w:type="pct"/>
            <w:shd w:val="clear" w:color="auto" w:fill="auto"/>
            <w:vAlign w:val="center"/>
          </w:tcPr>
          <w:p w14:paraId="61EA0D44">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建设顺丰快递西北示范基地。全部建成后，预计年产值可达5000万元，年税收1000万元，解决就业300人</w:t>
            </w:r>
          </w:p>
        </w:tc>
        <w:tc>
          <w:tcPr>
            <w:tcW w:w="896" w:type="pct"/>
            <w:shd w:val="clear" w:color="auto" w:fill="auto"/>
            <w:vAlign w:val="center"/>
          </w:tcPr>
          <w:p w14:paraId="09E86C8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1.67</w:t>
            </w:r>
          </w:p>
        </w:tc>
      </w:tr>
      <w:tr w14:paraId="6393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4" w:type="pct"/>
            <w:shd w:val="clear" w:color="auto" w:fill="auto"/>
            <w:vAlign w:val="center"/>
          </w:tcPr>
          <w:p w14:paraId="5D37FA8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1272" w:type="pct"/>
            <w:shd w:val="clear" w:color="auto" w:fill="auto"/>
            <w:vAlign w:val="center"/>
          </w:tcPr>
          <w:p w14:paraId="6A4FF95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交投绿色环保筑路材料项目</w:t>
            </w:r>
          </w:p>
        </w:tc>
        <w:tc>
          <w:tcPr>
            <w:tcW w:w="2398" w:type="pct"/>
            <w:shd w:val="clear" w:color="auto" w:fill="auto"/>
            <w:vAlign w:val="center"/>
          </w:tcPr>
          <w:p w14:paraId="05D202C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生产新型绿色环保筑路材料，将具备年生产新型绿色环保筑路材料10万吨的生产能力，预计年产值可达5600万元，年税收600万元，解决就业20人。</w:t>
            </w:r>
          </w:p>
        </w:tc>
        <w:tc>
          <w:tcPr>
            <w:tcW w:w="896" w:type="pct"/>
            <w:shd w:val="clear" w:color="auto" w:fill="auto"/>
            <w:vAlign w:val="center"/>
          </w:tcPr>
          <w:p w14:paraId="3E790049">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r>
      <w:bookmarkEnd w:id="488"/>
      <w:bookmarkEnd w:id="489"/>
      <w:bookmarkEnd w:id="490"/>
      <w:bookmarkEnd w:id="491"/>
      <w:bookmarkEnd w:id="492"/>
    </w:tbl>
    <w:p w14:paraId="7FFB2E54">
      <w:pPr>
        <w:widowControl/>
        <w:spacing w:line="240" w:lineRule="auto"/>
        <w:ind w:firstLine="0" w:firstLineChars="0"/>
        <w:jc w:val="left"/>
        <w:rPr>
          <w:rFonts w:eastAsia="黑体"/>
          <w:b/>
          <w:sz w:val="36"/>
          <w:szCs w:val="36"/>
        </w:rPr>
      </w:pPr>
      <w:bookmarkStart w:id="687" w:name="_Toc133136368"/>
      <w:bookmarkEnd w:id="687"/>
      <w:r>
        <w:rPr>
          <w:rFonts w:eastAsia="黑体"/>
          <w:b/>
          <w:sz w:val="36"/>
          <w:szCs w:val="36"/>
        </w:rPr>
        <w:br w:type="page"/>
      </w:r>
    </w:p>
    <w:p w14:paraId="5F845678">
      <w:pPr>
        <w:adjustRightInd w:val="0"/>
        <w:snapToGrid w:val="0"/>
        <w:ind w:firstLine="199" w:firstLineChars="55"/>
        <w:jc w:val="left"/>
        <w:outlineLvl w:val="0"/>
        <w:rPr>
          <w:rFonts w:eastAsia="黑体"/>
          <w:b/>
          <w:color w:val="000000" w:themeColor="text1"/>
          <w:sz w:val="36"/>
          <w:szCs w:val="36"/>
          <w14:textFill>
            <w14:solidFill>
              <w14:schemeClr w14:val="tx1"/>
            </w14:solidFill>
          </w14:textFill>
        </w:rPr>
      </w:pPr>
      <w:bookmarkStart w:id="688" w:name="_Toc192675959"/>
      <w:r>
        <w:rPr>
          <w:rFonts w:eastAsia="黑体"/>
          <w:b/>
          <w:color w:val="000000" w:themeColor="text1"/>
          <w:sz w:val="36"/>
          <w:szCs w:val="36"/>
          <w14:textFill>
            <w14:solidFill>
              <w14:schemeClr w14:val="tx1"/>
            </w14:solidFill>
          </w14:textFill>
        </w:rPr>
        <w:t>7 资源环境承载力分析</w:t>
      </w:r>
      <w:bookmarkEnd w:id="462"/>
      <w:bookmarkEnd w:id="463"/>
      <w:bookmarkEnd w:id="464"/>
      <w:bookmarkEnd w:id="688"/>
    </w:p>
    <w:p w14:paraId="7D430472">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689" w:name="_Toc150948012"/>
      <w:bookmarkEnd w:id="689"/>
      <w:bookmarkStart w:id="690" w:name="_Toc182320731"/>
      <w:bookmarkEnd w:id="690"/>
      <w:bookmarkStart w:id="691" w:name="_Toc134812758"/>
      <w:bookmarkEnd w:id="691"/>
      <w:bookmarkStart w:id="692" w:name="_Toc145344534"/>
      <w:bookmarkEnd w:id="692"/>
      <w:bookmarkStart w:id="693" w:name="_Toc192675960"/>
      <w:bookmarkEnd w:id="693"/>
      <w:bookmarkStart w:id="694" w:name="_Toc186205317"/>
      <w:bookmarkEnd w:id="694"/>
      <w:bookmarkStart w:id="695" w:name="_Toc148367134"/>
      <w:bookmarkEnd w:id="695"/>
      <w:bookmarkStart w:id="696" w:name="_Toc159406794"/>
      <w:bookmarkEnd w:id="696"/>
      <w:bookmarkStart w:id="697" w:name="_Toc162446366"/>
      <w:bookmarkEnd w:id="697"/>
      <w:bookmarkStart w:id="698" w:name="_Toc144211370"/>
      <w:bookmarkEnd w:id="698"/>
      <w:bookmarkStart w:id="699" w:name="_Toc156553085"/>
      <w:bookmarkEnd w:id="699"/>
      <w:bookmarkStart w:id="700" w:name="_Toc161132326"/>
      <w:bookmarkEnd w:id="700"/>
      <w:bookmarkStart w:id="701" w:name="_Toc190952888"/>
      <w:bookmarkEnd w:id="701"/>
      <w:bookmarkStart w:id="702" w:name="_Toc134812900"/>
      <w:bookmarkEnd w:id="702"/>
      <w:bookmarkStart w:id="703" w:name="_Toc134813395"/>
      <w:bookmarkEnd w:id="703"/>
      <w:bookmarkStart w:id="704" w:name="_Toc190952337"/>
      <w:bookmarkEnd w:id="704"/>
      <w:bookmarkStart w:id="705" w:name="_Toc145341290"/>
      <w:bookmarkEnd w:id="705"/>
      <w:bookmarkStart w:id="706" w:name="_Toc156553715"/>
      <w:bookmarkEnd w:id="706"/>
      <w:bookmarkStart w:id="707" w:name="_Toc134813829"/>
      <w:bookmarkEnd w:id="707"/>
      <w:bookmarkStart w:id="708" w:name="_Toc134813121"/>
      <w:bookmarkEnd w:id="708"/>
      <w:bookmarkStart w:id="709" w:name="_Toc134813258"/>
      <w:bookmarkEnd w:id="709"/>
      <w:bookmarkStart w:id="710" w:name="_Toc161133166"/>
      <w:bookmarkEnd w:id="710"/>
      <w:bookmarkStart w:id="711" w:name="_Toc134812759"/>
      <w:bookmarkStart w:id="712" w:name="_Toc134813259"/>
      <w:bookmarkStart w:id="713" w:name="_Toc134813396"/>
      <w:bookmarkStart w:id="714" w:name="_Toc134813122"/>
      <w:bookmarkStart w:id="715" w:name="_Toc417157256"/>
      <w:bookmarkStart w:id="716" w:name="_Toc417156888"/>
      <w:bookmarkStart w:id="717" w:name="_Toc417157175"/>
      <w:bookmarkStart w:id="718" w:name="_Toc417156800"/>
    </w:p>
    <w:p w14:paraId="184A32DE">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719" w:name="_Toc190952889"/>
      <w:bookmarkEnd w:id="719"/>
      <w:bookmarkStart w:id="720" w:name="_Toc161132327"/>
      <w:bookmarkEnd w:id="720"/>
      <w:bookmarkStart w:id="721" w:name="_Toc182320732"/>
      <w:bookmarkEnd w:id="721"/>
      <w:bookmarkStart w:id="722" w:name="_Toc192675961"/>
      <w:bookmarkEnd w:id="722"/>
      <w:bookmarkStart w:id="723" w:name="_Toc162446367"/>
      <w:bookmarkEnd w:id="723"/>
      <w:bookmarkStart w:id="724" w:name="_Toc159406795"/>
      <w:bookmarkEnd w:id="724"/>
      <w:bookmarkStart w:id="725" w:name="_Toc186205318"/>
      <w:bookmarkEnd w:id="725"/>
      <w:bookmarkStart w:id="726" w:name="_Toc156553716"/>
      <w:bookmarkEnd w:id="726"/>
      <w:bookmarkStart w:id="727" w:name="_Toc190952338"/>
      <w:bookmarkEnd w:id="727"/>
      <w:bookmarkStart w:id="728" w:name="_Toc161133167"/>
      <w:bookmarkEnd w:id="728"/>
      <w:bookmarkStart w:id="729" w:name="_Toc156553086"/>
      <w:bookmarkEnd w:id="729"/>
    </w:p>
    <w:p w14:paraId="63BB4BB7">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730" w:name="_Toc156553717"/>
      <w:bookmarkEnd w:id="730"/>
      <w:bookmarkStart w:id="731" w:name="_Toc156553087"/>
      <w:bookmarkEnd w:id="731"/>
      <w:bookmarkStart w:id="732" w:name="_Toc186205319"/>
      <w:bookmarkEnd w:id="732"/>
      <w:bookmarkStart w:id="733" w:name="_Toc182320733"/>
      <w:bookmarkEnd w:id="733"/>
      <w:bookmarkStart w:id="734" w:name="_Toc192675962"/>
      <w:bookmarkEnd w:id="734"/>
      <w:bookmarkStart w:id="735" w:name="_Toc190952339"/>
      <w:bookmarkEnd w:id="735"/>
      <w:bookmarkStart w:id="736" w:name="_Toc162446368"/>
      <w:bookmarkEnd w:id="736"/>
      <w:bookmarkStart w:id="737" w:name="_Toc190952890"/>
      <w:bookmarkEnd w:id="737"/>
      <w:bookmarkStart w:id="738" w:name="_Toc161132328"/>
      <w:bookmarkEnd w:id="738"/>
      <w:bookmarkStart w:id="739" w:name="_Toc159406796"/>
      <w:bookmarkEnd w:id="739"/>
      <w:bookmarkStart w:id="740" w:name="_Toc161133168"/>
      <w:bookmarkEnd w:id="740"/>
    </w:p>
    <w:p w14:paraId="21F28DC4">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741" w:name="_Toc161132329"/>
      <w:bookmarkEnd w:id="741"/>
      <w:bookmarkStart w:id="742" w:name="_Toc162446369"/>
      <w:bookmarkEnd w:id="742"/>
      <w:bookmarkStart w:id="743" w:name="_Toc182320734"/>
      <w:bookmarkEnd w:id="743"/>
      <w:bookmarkStart w:id="744" w:name="_Toc156553088"/>
      <w:bookmarkEnd w:id="744"/>
      <w:bookmarkStart w:id="745" w:name="_Toc156553718"/>
      <w:bookmarkEnd w:id="745"/>
      <w:bookmarkStart w:id="746" w:name="_Toc161133169"/>
      <w:bookmarkEnd w:id="746"/>
      <w:bookmarkStart w:id="747" w:name="_Toc192675963"/>
      <w:bookmarkEnd w:id="747"/>
      <w:bookmarkStart w:id="748" w:name="_Toc186205320"/>
      <w:bookmarkEnd w:id="748"/>
      <w:bookmarkStart w:id="749" w:name="_Toc159406797"/>
      <w:bookmarkEnd w:id="749"/>
      <w:bookmarkStart w:id="750" w:name="_Toc190952340"/>
      <w:bookmarkEnd w:id="750"/>
      <w:bookmarkStart w:id="751" w:name="_Toc190952891"/>
      <w:bookmarkEnd w:id="751"/>
    </w:p>
    <w:p w14:paraId="0FF76EC4">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752" w:name="_Toc182320735"/>
      <w:bookmarkEnd w:id="752"/>
      <w:bookmarkStart w:id="753" w:name="_Toc190952341"/>
      <w:bookmarkEnd w:id="753"/>
      <w:bookmarkStart w:id="754" w:name="_Toc156553719"/>
      <w:bookmarkEnd w:id="754"/>
      <w:bookmarkStart w:id="755" w:name="_Toc190952892"/>
      <w:bookmarkEnd w:id="755"/>
      <w:bookmarkStart w:id="756" w:name="_Toc162446370"/>
      <w:bookmarkEnd w:id="756"/>
      <w:bookmarkStart w:id="757" w:name="_Toc186205321"/>
      <w:bookmarkEnd w:id="757"/>
      <w:bookmarkStart w:id="758" w:name="_Toc161132330"/>
      <w:bookmarkEnd w:id="758"/>
      <w:bookmarkStart w:id="759" w:name="_Toc159406798"/>
      <w:bookmarkEnd w:id="759"/>
      <w:bookmarkStart w:id="760" w:name="_Toc156553089"/>
      <w:bookmarkEnd w:id="760"/>
      <w:bookmarkStart w:id="761" w:name="_Toc161133170"/>
      <w:bookmarkEnd w:id="761"/>
      <w:bookmarkStart w:id="762" w:name="_Toc192675964"/>
      <w:bookmarkEnd w:id="762"/>
    </w:p>
    <w:p w14:paraId="59BC1742">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763" w:name="_Toc190952893"/>
      <w:bookmarkEnd w:id="763"/>
      <w:bookmarkStart w:id="764" w:name="_Toc159406799"/>
      <w:bookmarkEnd w:id="764"/>
      <w:bookmarkStart w:id="765" w:name="_Toc161133171"/>
      <w:bookmarkEnd w:id="765"/>
      <w:bookmarkStart w:id="766" w:name="_Toc162446371"/>
      <w:bookmarkEnd w:id="766"/>
      <w:bookmarkStart w:id="767" w:name="_Toc190952342"/>
      <w:bookmarkEnd w:id="767"/>
      <w:bookmarkStart w:id="768" w:name="_Toc192675965"/>
      <w:bookmarkEnd w:id="768"/>
      <w:bookmarkStart w:id="769" w:name="_Toc186205322"/>
      <w:bookmarkEnd w:id="769"/>
      <w:bookmarkStart w:id="770" w:name="_Toc182320736"/>
      <w:bookmarkEnd w:id="770"/>
      <w:bookmarkStart w:id="771" w:name="_Toc156553720"/>
      <w:bookmarkEnd w:id="771"/>
      <w:bookmarkStart w:id="772" w:name="_Toc156553090"/>
      <w:bookmarkEnd w:id="772"/>
      <w:bookmarkStart w:id="773" w:name="_Toc161132331"/>
      <w:bookmarkEnd w:id="773"/>
    </w:p>
    <w:p w14:paraId="5B92137E">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774" w:name="_Toc192675966"/>
      <w:r>
        <w:rPr>
          <w:rFonts w:ascii="Times New Roman" w:hAnsi="Times New Roman" w:eastAsia="黑体"/>
          <w:b/>
          <w:color w:val="000000" w:themeColor="text1"/>
          <w:sz w:val="30"/>
          <w:szCs w:val="30"/>
          <w14:textFill>
            <w14:solidFill>
              <w14:schemeClr w14:val="tx1"/>
            </w14:solidFill>
          </w14:textFill>
        </w:rPr>
        <w:t>土地资源承载能力</w:t>
      </w:r>
      <w:bookmarkEnd w:id="774"/>
    </w:p>
    <w:p w14:paraId="0BCC514F">
      <w:pPr>
        <w:ind w:firstLine="560"/>
      </w:pPr>
      <w:r>
        <w:t>土地作为一种资源，具有三个基本特征，即位置固定、面积有限和不可替代。土地资源更多的是作为一种空间资源。</w:t>
      </w:r>
    </w:p>
    <w:p w14:paraId="1D61992E">
      <w:pPr>
        <w:ind w:firstLine="560"/>
      </w:pPr>
      <w:r>
        <w:t>装备制造产业园区规划范围面积为25.58km</w:t>
      </w:r>
      <w:r>
        <w:rPr>
          <w:vertAlign w:val="superscript"/>
        </w:rPr>
        <w:t>2</w:t>
      </w:r>
      <w:r>
        <w:t>，范围包括赛汉路以东，建华路以西，羊山窑村以南，青山路以北的已建区；京新高速（京藏高速）公路以北，210国道以西，青大公路以南及周边区域的规划区。本次规划按照国土空间规划中装备园区城镇开发边界进行。</w:t>
      </w:r>
    </w:p>
    <w:p w14:paraId="1DB6D788">
      <w:pPr>
        <w:ind w:firstLine="560"/>
      </w:pPr>
      <w:r>
        <w:t>目前园区南侧已建区开发程度较高，与居民区相邻的企业均为装备制造类企业，生产工艺以机械加工为主，污染排放水平较低，对周围居民区影响较小；园区北侧为规划区，该片区西侧产业集中区域与东侧配套服务区有空间间隔，实现产业集中区域区与配套服务区的分隔；建议园区新入驻企业布局时，园区产业区与配套服务区相邻区域布置无污染或低污染、低环境风险的企业，确保园区对周边敏感区的污染、风险等满足要求。规划的教育科研片区与产业区相互独立，实现空间分隔。总体而言，园区土地资源能够承载园区的开发建设。</w:t>
      </w:r>
    </w:p>
    <w:p w14:paraId="1DBBDABD">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775" w:name="_Toc192675967"/>
      <w:r>
        <w:rPr>
          <w:rFonts w:ascii="Times New Roman" w:hAnsi="Times New Roman" w:eastAsia="黑体"/>
          <w:b/>
          <w:color w:val="000000" w:themeColor="text1"/>
          <w:sz w:val="30"/>
          <w:szCs w:val="30"/>
          <w14:textFill>
            <w14:solidFill>
              <w14:schemeClr w14:val="tx1"/>
            </w14:solidFill>
          </w14:textFill>
        </w:rPr>
        <w:t>水资源承载力分析</w:t>
      </w:r>
      <w:bookmarkEnd w:id="711"/>
      <w:bookmarkEnd w:id="712"/>
      <w:bookmarkEnd w:id="713"/>
      <w:bookmarkEnd w:id="714"/>
      <w:bookmarkEnd w:id="775"/>
    </w:p>
    <w:p w14:paraId="1EF21A81">
      <w:pPr>
        <w:adjustRightInd w:val="0"/>
        <w:snapToGrid w:val="0"/>
        <w:spacing w:line="420" w:lineRule="auto"/>
        <w:ind w:firstLine="562"/>
        <w:jc w:val="left"/>
        <w:rPr>
          <w:b/>
          <w:bCs w:val="0"/>
          <w:color w:val="000000" w:themeColor="text1"/>
          <w:szCs w:val="28"/>
          <w14:textFill>
            <w14:solidFill>
              <w14:schemeClr w14:val="tx1"/>
            </w14:solidFill>
          </w14:textFill>
        </w:rPr>
      </w:pPr>
      <w:r>
        <w:rPr>
          <w:rFonts w:hint="eastAsia"/>
          <w:b/>
          <w:bCs w:val="0"/>
          <w:color w:val="000000" w:themeColor="text1"/>
          <w:szCs w:val="28"/>
          <w14:textFill>
            <w14:solidFill>
              <w14:schemeClr w14:val="tx1"/>
            </w14:solidFill>
          </w14:textFill>
        </w:rPr>
        <w:t>1、水资源承载能力</w:t>
      </w:r>
    </w:p>
    <w:p w14:paraId="2230E055">
      <w:pPr>
        <w:pStyle w:val="620"/>
        <w:spacing w:line="360" w:lineRule="auto"/>
        <w:ind w:firstLine="560" w:firstLineChars="200"/>
        <w:rPr>
          <w:sz w:val="28"/>
          <w:szCs w:val="24"/>
        </w:rPr>
      </w:pPr>
      <w:r>
        <w:rPr>
          <w:rFonts w:hint="eastAsia"/>
          <w:sz w:val="28"/>
          <w:szCs w:val="24"/>
        </w:rPr>
        <w:t>在未考虑中水量时，2030年末园区需水量为5507.11万m</w:t>
      </w:r>
      <w:r>
        <w:rPr>
          <w:rFonts w:hint="eastAsia"/>
          <w:sz w:val="28"/>
          <w:szCs w:val="24"/>
          <w:vertAlign w:val="superscript"/>
        </w:rPr>
        <w:t>3</w:t>
      </w:r>
      <w:r>
        <w:rPr>
          <w:rFonts w:hint="eastAsia"/>
          <w:sz w:val="28"/>
          <w:szCs w:val="24"/>
        </w:rPr>
        <w:t>/a（15.78万m</w:t>
      </w:r>
      <w:r>
        <w:rPr>
          <w:rFonts w:hint="eastAsia"/>
          <w:sz w:val="28"/>
          <w:szCs w:val="24"/>
          <w:vertAlign w:val="superscript"/>
        </w:rPr>
        <w:t>3</w:t>
      </w:r>
      <w:r>
        <w:rPr>
          <w:rFonts w:hint="eastAsia"/>
          <w:sz w:val="28"/>
          <w:szCs w:val="24"/>
        </w:rPr>
        <w:t>/d），2035年末需水量为7304.63万m</w:t>
      </w:r>
      <w:r>
        <w:rPr>
          <w:rFonts w:hint="eastAsia"/>
          <w:sz w:val="28"/>
          <w:szCs w:val="24"/>
          <w:vertAlign w:val="superscript"/>
        </w:rPr>
        <w:t>3</w:t>
      </w:r>
      <w:r>
        <w:rPr>
          <w:rFonts w:hint="eastAsia"/>
          <w:sz w:val="28"/>
          <w:szCs w:val="24"/>
        </w:rPr>
        <w:t>/a（20.91万m</w:t>
      </w:r>
      <w:r>
        <w:rPr>
          <w:rFonts w:hint="eastAsia"/>
          <w:sz w:val="28"/>
          <w:szCs w:val="24"/>
          <w:vertAlign w:val="superscript"/>
        </w:rPr>
        <w:t>3</w:t>
      </w:r>
      <w:r>
        <w:rPr>
          <w:rFonts w:hint="eastAsia"/>
          <w:sz w:val="28"/>
          <w:szCs w:val="24"/>
        </w:rPr>
        <w:t>/d）。</w:t>
      </w:r>
    </w:p>
    <w:p w14:paraId="2396543F">
      <w:pPr>
        <w:pStyle w:val="620"/>
        <w:spacing w:line="360" w:lineRule="auto"/>
        <w:ind w:firstLine="560" w:firstLineChars="200"/>
        <w:rPr>
          <w:rFonts w:hint="eastAsia"/>
          <w:sz w:val="28"/>
          <w:szCs w:val="24"/>
        </w:rPr>
      </w:pPr>
      <w:r>
        <w:rPr>
          <w:rFonts w:hint="eastAsia"/>
          <w:sz w:val="28"/>
          <w:szCs w:val="24"/>
        </w:rPr>
        <w:t>（1）由二水厂（画匠营子供水工程）供水 8.47 万 m</w:t>
      </w:r>
      <w:r>
        <w:rPr>
          <w:rFonts w:hint="eastAsia"/>
          <w:sz w:val="28"/>
          <w:szCs w:val="24"/>
          <w:vertAlign w:val="superscript"/>
        </w:rPr>
        <w:t>3</w:t>
      </w:r>
      <w:r>
        <w:rPr>
          <w:rFonts w:hint="eastAsia"/>
          <w:sz w:val="28"/>
          <w:szCs w:val="24"/>
        </w:rPr>
        <w:t>/d，主要用于生活用水，其中，4.48 万 m</w:t>
      </w:r>
      <w:r>
        <w:rPr>
          <w:rFonts w:hint="eastAsia"/>
          <w:sz w:val="28"/>
          <w:szCs w:val="24"/>
          <w:vertAlign w:val="superscript"/>
        </w:rPr>
        <w:t>3</w:t>
      </w:r>
      <w:r>
        <w:rPr>
          <w:rFonts w:hint="eastAsia"/>
          <w:sz w:val="28"/>
          <w:szCs w:val="24"/>
        </w:rPr>
        <w:t>/d 由二水厂经泵站加压直供，3.99 万 m</w:t>
      </w:r>
      <w:r>
        <w:rPr>
          <w:rFonts w:hint="eastAsia"/>
          <w:sz w:val="28"/>
          <w:szCs w:val="24"/>
          <w:vertAlign w:val="superscript"/>
        </w:rPr>
        <w:t>3</w:t>
      </w:r>
      <w:r>
        <w:rPr>
          <w:rFonts w:hint="eastAsia"/>
          <w:sz w:val="28"/>
          <w:szCs w:val="24"/>
        </w:rPr>
        <w:t>/d 由城市配水管网供给；</w:t>
      </w:r>
    </w:p>
    <w:p w14:paraId="61106D61">
      <w:pPr>
        <w:pStyle w:val="620"/>
        <w:spacing w:line="360" w:lineRule="auto"/>
        <w:ind w:firstLine="560" w:firstLineChars="200"/>
        <w:rPr>
          <w:sz w:val="28"/>
          <w:szCs w:val="24"/>
        </w:rPr>
      </w:pPr>
      <w:r>
        <w:rPr>
          <w:rFonts w:hint="eastAsia"/>
          <w:sz w:val="28"/>
          <w:szCs w:val="24"/>
        </w:rPr>
        <w:t>（2）二道沙河生态治理项目可为园区供再生水3500万m</w:t>
      </w:r>
      <w:r>
        <w:rPr>
          <w:rFonts w:hint="eastAsia"/>
          <w:sz w:val="28"/>
          <w:szCs w:val="24"/>
          <w:vertAlign w:val="superscript"/>
        </w:rPr>
        <w:t>3</w:t>
      </w:r>
      <w:r>
        <w:rPr>
          <w:rFonts w:hint="eastAsia"/>
          <w:sz w:val="28"/>
          <w:szCs w:val="24"/>
        </w:rPr>
        <w:t>/</w:t>
      </w:r>
      <w:r>
        <w:rPr>
          <w:sz w:val="28"/>
          <w:szCs w:val="24"/>
        </w:rPr>
        <w:t>a;</w:t>
      </w:r>
    </w:p>
    <w:p w14:paraId="525C0F65">
      <w:pPr>
        <w:pStyle w:val="620"/>
        <w:spacing w:line="360" w:lineRule="auto"/>
        <w:ind w:firstLine="560" w:firstLineChars="200"/>
        <w:rPr>
          <w:sz w:val="22"/>
        </w:rPr>
      </w:pPr>
      <w:r>
        <w:rPr>
          <w:rFonts w:hint="eastAsia"/>
          <w:sz w:val="28"/>
          <w:szCs w:val="24"/>
        </w:rPr>
        <w:t>（</w:t>
      </w:r>
      <w:r>
        <w:rPr>
          <w:sz w:val="28"/>
          <w:szCs w:val="24"/>
        </w:rPr>
        <w:t>3</w:t>
      </w:r>
      <w:r>
        <w:rPr>
          <w:rFonts w:hint="eastAsia"/>
          <w:sz w:val="28"/>
          <w:szCs w:val="24"/>
        </w:rPr>
        <w:t>）包头装备制造产业园区水资源集中处置供应中心已具备处理低盐污水3.5m</w:t>
      </w:r>
      <w:r>
        <w:rPr>
          <w:rFonts w:hint="eastAsia"/>
          <w:sz w:val="28"/>
          <w:szCs w:val="24"/>
          <w:vertAlign w:val="superscript"/>
        </w:rPr>
        <w:t>3</w:t>
      </w:r>
      <w:r>
        <w:rPr>
          <w:rFonts w:hint="eastAsia"/>
          <w:sz w:val="28"/>
          <w:szCs w:val="24"/>
        </w:rPr>
        <w:t>/d，高盐污水3.0m</w:t>
      </w:r>
      <w:r>
        <w:rPr>
          <w:rFonts w:hint="eastAsia"/>
          <w:sz w:val="28"/>
          <w:szCs w:val="24"/>
          <w:vertAlign w:val="superscript"/>
        </w:rPr>
        <w:t>3</w:t>
      </w:r>
      <w:r>
        <w:rPr>
          <w:rFonts w:hint="eastAsia"/>
          <w:sz w:val="28"/>
          <w:szCs w:val="24"/>
        </w:rPr>
        <w:t>/d及生产高品质再生水9万m</w:t>
      </w:r>
      <w:r>
        <w:rPr>
          <w:rFonts w:hint="eastAsia"/>
          <w:sz w:val="28"/>
          <w:szCs w:val="24"/>
          <w:vertAlign w:val="superscript"/>
        </w:rPr>
        <w:t>3</w:t>
      </w:r>
      <w:r>
        <w:rPr>
          <w:rFonts w:hint="eastAsia"/>
          <w:sz w:val="28"/>
          <w:szCs w:val="24"/>
        </w:rPr>
        <w:t>/d。</w:t>
      </w:r>
      <w:r>
        <w:rPr>
          <w:color w:val="000000" w:themeColor="text1"/>
          <w:szCs w:val="28"/>
          <w14:textFill>
            <w14:solidFill>
              <w14:schemeClr w14:val="tx1"/>
            </w14:solidFill>
          </w14:textFill>
        </w:rPr>
        <w:t xml:space="preserve"> </w:t>
      </w:r>
    </w:p>
    <w:p w14:paraId="2AAFCD77">
      <w:pPr>
        <w:snapToGrid w:val="0"/>
        <w:ind w:firstLine="560"/>
        <w:rPr>
          <w:color w:val="000000" w:themeColor="text1"/>
          <w:szCs w:val="28"/>
          <w14:textFill>
            <w14:solidFill>
              <w14:schemeClr w14:val="tx1"/>
            </w14:solidFill>
          </w14:textFill>
        </w:rPr>
      </w:pPr>
      <w:r>
        <w:rPr>
          <w:color w:val="000000" w:themeColor="text1"/>
          <w:szCs w:val="28"/>
          <w14:textFill>
            <w14:solidFill>
              <w14:schemeClr w14:val="tx1"/>
            </w14:solidFill>
          </w14:textFill>
        </w:rPr>
        <w:t>园区近、远期水资源供需平衡分析见表7.1—1。</w:t>
      </w:r>
    </w:p>
    <w:p w14:paraId="410C2496">
      <w:pPr>
        <w:snapToGrid w:val="0"/>
        <w:ind w:firstLine="0" w:firstLineChars="0"/>
        <w:jc w:val="center"/>
        <w:rPr>
          <w:color w:val="000000" w:themeColor="text1"/>
          <w:szCs w:val="28"/>
          <w14:textFill>
            <w14:solidFill>
              <w14:schemeClr w14:val="tx1"/>
            </w14:solidFill>
          </w14:textFill>
        </w:rPr>
      </w:pPr>
      <w:r>
        <w:rPr>
          <w:color w:val="000000" w:themeColor="text1"/>
          <w:szCs w:val="28"/>
          <w14:textFill>
            <w14:solidFill>
              <w14:schemeClr w14:val="tx1"/>
            </w14:solidFill>
          </w14:textFill>
        </w:rPr>
        <w:t xml:space="preserve">表7.1—1 </w:t>
      </w:r>
      <w:r>
        <w:rPr>
          <w:rFonts w:hint="eastAsia"/>
          <w:color w:val="000000" w:themeColor="text1"/>
          <w:szCs w:val="28"/>
          <w14:textFill>
            <w14:solidFill>
              <w14:schemeClr w14:val="tx1"/>
            </w14:solidFill>
          </w14:textFill>
        </w:rPr>
        <w:t>规划水平年园区需水情况表</w:t>
      </w:r>
      <w:r>
        <w:rPr>
          <w:color w:val="000000" w:themeColor="text1"/>
          <w:szCs w:val="28"/>
          <w14:textFill>
            <w14:solidFill>
              <w14:schemeClr w14:val="tx1"/>
            </w14:solidFill>
          </w14:textFill>
        </w:rPr>
        <w:t xml:space="preserve">    单位：万m</w:t>
      </w:r>
      <w:r>
        <w:rPr>
          <w:color w:val="000000" w:themeColor="text1"/>
          <w:szCs w:val="28"/>
          <w:vertAlign w:val="superscript"/>
          <w14:textFill>
            <w14:solidFill>
              <w14:schemeClr w14:val="tx1"/>
            </w14:solidFill>
          </w14:textFill>
        </w:rPr>
        <w:t>3</w:t>
      </w:r>
      <w:r>
        <w:rPr>
          <w:color w:val="000000" w:themeColor="text1"/>
          <w:szCs w:val="28"/>
          <w14:textFill>
            <w14:solidFill>
              <w14:schemeClr w14:val="tx1"/>
            </w14:solidFill>
          </w14:textFill>
        </w:rPr>
        <w:t>/a</w:t>
      </w:r>
    </w:p>
    <w:tbl>
      <w:tblPr>
        <w:tblStyle w:val="65"/>
        <w:tblW w:w="5000" w:type="pct"/>
        <w:jc w:val="center"/>
        <w:tblLayout w:type="autofit"/>
        <w:tblCellMar>
          <w:top w:w="0" w:type="dxa"/>
          <w:left w:w="108" w:type="dxa"/>
          <w:bottom w:w="0" w:type="dxa"/>
          <w:right w:w="108" w:type="dxa"/>
        </w:tblCellMar>
      </w:tblPr>
      <w:tblGrid>
        <w:gridCol w:w="1674"/>
        <w:gridCol w:w="912"/>
        <w:gridCol w:w="711"/>
        <w:gridCol w:w="912"/>
        <w:gridCol w:w="914"/>
        <w:gridCol w:w="912"/>
        <w:gridCol w:w="677"/>
        <w:gridCol w:w="912"/>
        <w:gridCol w:w="899"/>
      </w:tblGrid>
      <w:tr w14:paraId="2098CDB4">
        <w:tblPrEx>
          <w:tblCellMar>
            <w:top w:w="0" w:type="dxa"/>
            <w:left w:w="108" w:type="dxa"/>
            <w:bottom w:w="0" w:type="dxa"/>
            <w:right w:w="108" w:type="dxa"/>
          </w:tblCellMar>
        </w:tblPrEx>
        <w:trPr>
          <w:trHeight w:val="340" w:hRule="atLeast"/>
          <w:jc w:val="center"/>
        </w:trPr>
        <w:tc>
          <w:tcPr>
            <w:tcW w:w="988" w:type="pct"/>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12B553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水源种类</w:t>
            </w:r>
          </w:p>
        </w:tc>
        <w:tc>
          <w:tcPr>
            <w:tcW w:w="2047" w:type="pct"/>
            <w:gridSpan w:val="4"/>
            <w:tcBorders>
              <w:top w:val="single" w:color="auto" w:sz="4" w:space="0"/>
              <w:left w:val="nil"/>
              <w:bottom w:val="single" w:color="auto" w:sz="4" w:space="0"/>
              <w:right w:val="single" w:color="auto" w:sz="4" w:space="0"/>
            </w:tcBorders>
            <w:shd w:val="clear" w:color="auto" w:fill="auto"/>
            <w:vAlign w:val="center"/>
          </w:tcPr>
          <w:p w14:paraId="69320A2E">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w:t>
            </w:r>
          </w:p>
        </w:tc>
        <w:tc>
          <w:tcPr>
            <w:tcW w:w="1964" w:type="pct"/>
            <w:gridSpan w:val="4"/>
            <w:tcBorders>
              <w:top w:val="single" w:color="auto" w:sz="4" w:space="0"/>
              <w:left w:val="nil"/>
              <w:bottom w:val="single" w:color="auto" w:sz="4" w:space="0"/>
              <w:right w:val="single" w:color="auto" w:sz="4" w:space="0"/>
            </w:tcBorders>
            <w:shd w:val="clear" w:color="auto" w:fill="auto"/>
            <w:vAlign w:val="center"/>
          </w:tcPr>
          <w:p w14:paraId="0E653576">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w:t>
            </w:r>
          </w:p>
        </w:tc>
      </w:tr>
      <w:tr w14:paraId="72695A84">
        <w:tblPrEx>
          <w:tblCellMar>
            <w:top w:w="0" w:type="dxa"/>
            <w:left w:w="108" w:type="dxa"/>
            <w:bottom w:w="0" w:type="dxa"/>
            <w:right w:w="108" w:type="dxa"/>
          </w:tblCellMar>
        </w:tblPrEx>
        <w:trPr>
          <w:trHeight w:val="340" w:hRule="atLeast"/>
          <w:jc w:val="center"/>
        </w:trPr>
        <w:tc>
          <w:tcPr>
            <w:tcW w:w="988" w:type="pct"/>
            <w:vMerge w:val="continue"/>
            <w:tcBorders>
              <w:top w:val="single" w:color="auto" w:sz="4" w:space="0"/>
              <w:left w:val="single" w:color="auto" w:sz="4" w:space="0"/>
              <w:bottom w:val="single" w:color="000000" w:sz="4" w:space="0"/>
              <w:right w:val="single" w:color="auto" w:sz="4" w:space="0"/>
            </w:tcBorders>
            <w:vAlign w:val="center"/>
          </w:tcPr>
          <w:p w14:paraId="211F3D35">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tcBorders>
              <w:top w:val="nil"/>
              <w:left w:val="nil"/>
              <w:bottom w:val="single" w:color="auto" w:sz="4" w:space="0"/>
              <w:right w:val="single" w:color="auto" w:sz="4" w:space="0"/>
            </w:tcBorders>
            <w:shd w:val="clear" w:color="auto" w:fill="auto"/>
            <w:vAlign w:val="center"/>
          </w:tcPr>
          <w:p w14:paraId="6DCC059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可用水量</w:t>
            </w:r>
          </w:p>
        </w:tc>
        <w:tc>
          <w:tcPr>
            <w:tcW w:w="423" w:type="pct"/>
            <w:tcBorders>
              <w:top w:val="nil"/>
              <w:left w:val="nil"/>
              <w:bottom w:val="single" w:color="auto" w:sz="4" w:space="0"/>
              <w:right w:val="single" w:color="auto" w:sz="4" w:space="0"/>
            </w:tcBorders>
            <w:shd w:val="clear" w:color="auto" w:fill="auto"/>
            <w:vAlign w:val="center"/>
          </w:tcPr>
          <w:p w14:paraId="6083F6C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依据</w:t>
            </w:r>
          </w:p>
        </w:tc>
        <w:tc>
          <w:tcPr>
            <w:tcW w:w="541" w:type="pct"/>
            <w:tcBorders>
              <w:top w:val="nil"/>
              <w:left w:val="nil"/>
              <w:bottom w:val="single" w:color="auto" w:sz="4" w:space="0"/>
              <w:right w:val="single" w:color="auto" w:sz="4" w:space="0"/>
            </w:tcBorders>
            <w:shd w:val="clear" w:color="auto" w:fill="auto"/>
            <w:vAlign w:val="center"/>
          </w:tcPr>
          <w:p w14:paraId="0FD7BB0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需水量</w:t>
            </w:r>
          </w:p>
        </w:tc>
        <w:tc>
          <w:tcPr>
            <w:tcW w:w="542" w:type="pct"/>
            <w:tcBorders>
              <w:top w:val="nil"/>
              <w:left w:val="nil"/>
              <w:bottom w:val="single" w:color="auto" w:sz="4" w:space="0"/>
              <w:right w:val="single" w:color="auto" w:sz="4" w:space="0"/>
            </w:tcBorders>
            <w:shd w:val="clear" w:color="auto" w:fill="auto"/>
            <w:vAlign w:val="center"/>
          </w:tcPr>
          <w:p w14:paraId="0366ABF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供需平衡分析</w:t>
            </w:r>
          </w:p>
        </w:tc>
        <w:tc>
          <w:tcPr>
            <w:tcW w:w="541" w:type="pct"/>
            <w:tcBorders>
              <w:top w:val="nil"/>
              <w:left w:val="nil"/>
              <w:bottom w:val="single" w:color="auto" w:sz="4" w:space="0"/>
              <w:right w:val="single" w:color="auto" w:sz="4" w:space="0"/>
            </w:tcBorders>
            <w:shd w:val="clear" w:color="auto" w:fill="auto"/>
            <w:vAlign w:val="center"/>
          </w:tcPr>
          <w:p w14:paraId="0973E13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可用水量</w:t>
            </w:r>
          </w:p>
        </w:tc>
        <w:tc>
          <w:tcPr>
            <w:tcW w:w="403" w:type="pct"/>
            <w:tcBorders>
              <w:top w:val="nil"/>
              <w:left w:val="nil"/>
              <w:bottom w:val="single" w:color="auto" w:sz="4" w:space="0"/>
              <w:right w:val="single" w:color="auto" w:sz="4" w:space="0"/>
            </w:tcBorders>
            <w:shd w:val="clear" w:color="auto" w:fill="auto"/>
            <w:vAlign w:val="center"/>
          </w:tcPr>
          <w:p w14:paraId="0770665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依据</w:t>
            </w:r>
          </w:p>
        </w:tc>
        <w:tc>
          <w:tcPr>
            <w:tcW w:w="541" w:type="pct"/>
            <w:tcBorders>
              <w:top w:val="nil"/>
              <w:left w:val="nil"/>
              <w:bottom w:val="single" w:color="auto" w:sz="4" w:space="0"/>
              <w:right w:val="single" w:color="auto" w:sz="4" w:space="0"/>
            </w:tcBorders>
            <w:shd w:val="clear" w:color="auto" w:fill="auto"/>
            <w:vAlign w:val="center"/>
          </w:tcPr>
          <w:p w14:paraId="3A9C225A">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需水量</w:t>
            </w:r>
          </w:p>
        </w:tc>
        <w:tc>
          <w:tcPr>
            <w:tcW w:w="479" w:type="pct"/>
            <w:tcBorders>
              <w:top w:val="nil"/>
              <w:left w:val="nil"/>
              <w:bottom w:val="single" w:color="auto" w:sz="4" w:space="0"/>
              <w:right w:val="single" w:color="auto" w:sz="4" w:space="0"/>
            </w:tcBorders>
            <w:shd w:val="clear" w:color="auto" w:fill="auto"/>
            <w:vAlign w:val="center"/>
          </w:tcPr>
          <w:p w14:paraId="1F80DD1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供需平衡分析</w:t>
            </w:r>
          </w:p>
        </w:tc>
      </w:tr>
      <w:tr w14:paraId="18E2ADCA">
        <w:tblPrEx>
          <w:tblCellMar>
            <w:top w:w="0" w:type="dxa"/>
            <w:left w:w="108" w:type="dxa"/>
            <w:bottom w:w="0" w:type="dxa"/>
            <w:right w:w="108" w:type="dxa"/>
          </w:tblCellMar>
        </w:tblPrEx>
        <w:trPr>
          <w:trHeight w:val="340" w:hRule="atLeast"/>
          <w:jc w:val="center"/>
        </w:trPr>
        <w:tc>
          <w:tcPr>
            <w:tcW w:w="988" w:type="pct"/>
            <w:tcBorders>
              <w:top w:val="nil"/>
              <w:left w:val="single" w:color="auto" w:sz="4" w:space="0"/>
              <w:bottom w:val="single" w:color="auto" w:sz="4" w:space="0"/>
              <w:right w:val="single" w:color="auto" w:sz="4" w:space="0"/>
            </w:tcBorders>
            <w:shd w:val="clear" w:color="auto" w:fill="auto"/>
            <w:vAlign w:val="center"/>
          </w:tcPr>
          <w:p w14:paraId="7D89266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二道沙河生态治理项目再生水</w:t>
            </w:r>
          </w:p>
        </w:tc>
        <w:tc>
          <w:tcPr>
            <w:tcW w:w="541" w:type="pct"/>
            <w:tcBorders>
              <w:top w:val="nil"/>
              <w:left w:val="nil"/>
              <w:bottom w:val="single" w:color="auto" w:sz="4" w:space="0"/>
              <w:right w:val="single" w:color="auto" w:sz="4" w:space="0"/>
            </w:tcBorders>
            <w:shd w:val="clear" w:color="auto" w:fill="auto"/>
            <w:vAlign w:val="center"/>
          </w:tcPr>
          <w:p w14:paraId="583A6F8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3500.00 </w:t>
            </w:r>
          </w:p>
        </w:tc>
        <w:tc>
          <w:tcPr>
            <w:tcW w:w="423" w:type="pct"/>
            <w:vMerge w:val="restart"/>
            <w:tcBorders>
              <w:top w:val="nil"/>
              <w:left w:val="single" w:color="auto" w:sz="4" w:space="0"/>
              <w:bottom w:val="single" w:color="auto" w:sz="4" w:space="0"/>
              <w:right w:val="single" w:color="auto" w:sz="4" w:space="0"/>
            </w:tcBorders>
            <w:shd w:val="clear" w:color="auto" w:fill="auto"/>
            <w:vAlign w:val="center"/>
          </w:tcPr>
          <w:p w14:paraId="16FA623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水资源论证报告</w:t>
            </w:r>
          </w:p>
        </w:tc>
        <w:tc>
          <w:tcPr>
            <w:tcW w:w="541" w:type="pct"/>
            <w:vMerge w:val="restart"/>
            <w:tcBorders>
              <w:top w:val="nil"/>
              <w:left w:val="single" w:color="auto" w:sz="4" w:space="0"/>
              <w:bottom w:val="single" w:color="auto" w:sz="4" w:space="0"/>
              <w:right w:val="single" w:color="auto" w:sz="4" w:space="0"/>
            </w:tcBorders>
            <w:shd w:val="clear" w:color="auto" w:fill="auto"/>
            <w:vAlign w:val="center"/>
          </w:tcPr>
          <w:p w14:paraId="0F4CA0C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5507.11</w:t>
            </w:r>
          </w:p>
        </w:tc>
        <w:tc>
          <w:tcPr>
            <w:tcW w:w="542" w:type="pct"/>
            <w:vMerge w:val="restart"/>
            <w:tcBorders>
              <w:top w:val="nil"/>
              <w:left w:val="single" w:color="auto" w:sz="4" w:space="0"/>
              <w:bottom w:val="single" w:color="auto" w:sz="4" w:space="0"/>
              <w:right w:val="single" w:color="auto" w:sz="4" w:space="0"/>
            </w:tcBorders>
            <w:shd w:val="clear" w:color="auto" w:fill="auto"/>
            <w:vAlign w:val="center"/>
          </w:tcPr>
          <w:p w14:paraId="2D65100B">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4107.39 </w:t>
            </w:r>
          </w:p>
        </w:tc>
        <w:tc>
          <w:tcPr>
            <w:tcW w:w="541" w:type="pct"/>
            <w:tcBorders>
              <w:top w:val="nil"/>
              <w:left w:val="nil"/>
              <w:bottom w:val="single" w:color="auto" w:sz="4" w:space="0"/>
              <w:right w:val="single" w:color="auto" w:sz="4" w:space="0"/>
            </w:tcBorders>
            <w:shd w:val="clear" w:color="auto" w:fill="auto"/>
            <w:vAlign w:val="center"/>
          </w:tcPr>
          <w:p w14:paraId="3445C8D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3500</w:t>
            </w:r>
          </w:p>
        </w:tc>
        <w:tc>
          <w:tcPr>
            <w:tcW w:w="403" w:type="pct"/>
            <w:vMerge w:val="restart"/>
            <w:tcBorders>
              <w:top w:val="nil"/>
              <w:left w:val="single" w:color="auto" w:sz="4" w:space="0"/>
              <w:bottom w:val="single" w:color="auto" w:sz="4" w:space="0"/>
              <w:right w:val="single" w:color="auto" w:sz="4" w:space="0"/>
            </w:tcBorders>
            <w:shd w:val="clear" w:color="auto" w:fill="auto"/>
            <w:vAlign w:val="center"/>
          </w:tcPr>
          <w:p w14:paraId="09E7EAA5">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水资源论证报告</w:t>
            </w:r>
          </w:p>
        </w:tc>
        <w:tc>
          <w:tcPr>
            <w:tcW w:w="541" w:type="pct"/>
            <w:vMerge w:val="restart"/>
            <w:tcBorders>
              <w:top w:val="nil"/>
              <w:left w:val="single" w:color="auto" w:sz="4" w:space="0"/>
              <w:bottom w:val="single" w:color="auto" w:sz="4" w:space="0"/>
              <w:right w:val="single" w:color="auto" w:sz="4" w:space="0"/>
            </w:tcBorders>
            <w:shd w:val="clear" w:color="auto" w:fill="auto"/>
            <w:vAlign w:val="center"/>
          </w:tcPr>
          <w:p w14:paraId="34D364F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7304.63 </w:t>
            </w:r>
          </w:p>
        </w:tc>
        <w:tc>
          <w:tcPr>
            <w:tcW w:w="479" w:type="pct"/>
            <w:vMerge w:val="restart"/>
            <w:tcBorders>
              <w:top w:val="nil"/>
              <w:left w:val="single" w:color="auto" w:sz="4" w:space="0"/>
              <w:bottom w:val="single" w:color="auto" w:sz="4" w:space="0"/>
              <w:right w:val="single" w:color="auto" w:sz="4" w:space="0"/>
            </w:tcBorders>
            <w:shd w:val="clear" w:color="auto" w:fill="auto"/>
            <w:vAlign w:val="center"/>
          </w:tcPr>
          <w:p w14:paraId="1D4A362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 xml:space="preserve">2309.87 </w:t>
            </w:r>
          </w:p>
        </w:tc>
      </w:tr>
      <w:tr w14:paraId="097CA411">
        <w:tblPrEx>
          <w:tblCellMar>
            <w:top w:w="0" w:type="dxa"/>
            <w:left w:w="108" w:type="dxa"/>
            <w:bottom w:w="0" w:type="dxa"/>
            <w:right w:w="108" w:type="dxa"/>
          </w:tblCellMar>
        </w:tblPrEx>
        <w:trPr>
          <w:trHeight w:val="340" w:hRule="atLeast"/>
          <w:jc w:val="center"/>
        </w:trPr>
        <w:tc>
          <w:tcPr>
            <w:tcW w:w="988" w:type="pct"/>
            <w:tcBorders>
              <w:top w:val="nil"/>
              <w:left w:val="single" w:color="auto" w:sz="4" w:space="0"/>
              <w:bottom w:val="single" w:color="auto" w:sz="4" w:space="0"/>
              <w:right w:val="single" w:color="auto" w:sz="4" w:space="0"/>
            </w:tcBorders>
            <w:shd w:val="clear" w:color="auto" w:fill="auto"/>
            <w:vAlign w:val="center"/>
          </w:tcPr>
          <w:p w14:paraId="0187C57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画匠营子供水工程二水厂 黄河水</w:t>
            </w:r>
          </w:p>
        </w:tc>
        <w:tc>
          <w:tcPr>
            <w:tcW w:w="541" w:type="pct"/>
            <w:tcBorders>
              <w:top w:val="nil"/>
              <w:left w:val="nil"/>
              <w:bottom w:val="single" w:color="auto" w:sz="4" w:space="0"/>
              <w:right w:val="single" w:color="auto" w:sz="4" w:space="0"/>
            </w:tcBorders>
            <w:shd w:val="clear" w:color="auto" w:fill="auto"/>
            <w:vAlign w:val="center"/>
          </w:tcPr>
          <w:p w14:paraId="1601C80D">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2964.5</w:t>
            </w:r>
          </w:p>
        </w:tc>
        <w:tc>
          <w:tcPr>
            <w:tcW w:w="423" w:type="pct"/>
            <w:vMerge w:val="continue"/>
            <w:tcBorders>
              <w:top w:val="nil"/>
              <w:left w:val="single" w:color="auto" w:sz="4" w:space="0"/>
              <w:bottom w:val="single" w:color="auto" w:sz="4" w:space="0"/>
              <w:right w:val="single" w:color="auto" w:sz="4" w:space="0"/>
            </w:tcBorders>
            <w:vAlign w:val="center"/>
          </w:tcPr>
          <w:p w14:paraId="2E69EFF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vMerge w:val="continue"/>
            <w:tcBorders>
              <w:top w:val="nil"/>
              <w:left w:val="single" w:color="auto" w:sz="4" w:space="0"/>
              <w:bottom w:val="single" w:color="auto" w:sz="4" w:space="0"/>
              <w:right w:val="single" w:color="auto" w:sz="4" w:space="0"/>
            </w:tcBorders>
            <w:vAlign w:val="center"/>
          </w:tcPr>
          <w:p w14:paraId="254369D6">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2" w:type="pct"/>
            <w:vMerge w:val="continue"/>
            <w:tcBorders>
              <w:top w:val="nil"/>
              <w:left w:val="single" w:color="auto" w:sz="4" w:space="0"/>
              <w:bottom w:val="single" w:color="auto" w:sz="4" w:space="0"/>
              <w:right w:val="single" w:color="auto" w:sz="4" w:space="0"/>
            </w:tcBorders>
            <w:vAlign w:val="center"/>
          </w:tcPr>
          <w:p w14:paraId="4997B44C">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tcBorders>
              <w:top w:val="nil"/>
              <w:left w:val="nil"/>
              <w:bottom w:val="single" w:color="auto" w:sz="4" w:space="0"/>
              <w:right w:val="single" w:color="auto" w:sz="4" w:space="0"/>
            </w:tcBorders>
            <w:shd w:val="clear" w:color="auto" w:fill="auto"/>
            <w:vAlign w:val="center"/>
          </w:tcPr>
          <w:p w14:paraId="41C0D48F">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2964.5</w:t>
            </w:r>
          </w:p>
        </w:tc>
        <w:tc>
          <w:tcPr>
            <w:tcW w:w="403" w:type="pct"/>
            <w:vMerge w:val="continue"/>
            <w:tcBorders>
              <w:top w:val="nil"/>
              <w:left w:val="single" w:color="auto" w:sz="4" w:space="0"/>
              <w:bottom w:val="single" w:color="auto" w:sz="4" w:space="0"/>
              <w:right w:val="single" w:color="auto" w:sz="4" w:space="0"/>
            </w:tcBorders>
            <w:vAlign w:val="center"/>
          </w:tcPr>
          <w:p w14:paraId="2FF4CE0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vMerge w:val="continue"/>
            <w:tcBorders>
              <w:top w:val="nil"/>
              <w:left w:val="single" w:color="auto" w:sz="4" w:space="0"/>
              <w:bottom w:val="single" w:color="auto" w:sz="4" w:space="0"/>
              <w:right w:val="single" w:color="auto" w:sz="4" w:space="0"/>
            </w:tcBorders>
            <w:vAlign w:val="center"/>
          </w:tcPr>
          <w:p w14:paraId="31A2BEAA">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479" w:type="pct"/>
            <w:vMerge w:val="continue"/>
            <w:tcBorders>
              <w:top w:val="nil"/>
              <w:left w:val="single" w:color="auto" w:sz="4" w:space="0"/>
              <w:bottom w:val="single" w:color="auto" w:sz="4" w:space="0"/>
              <w:right w:val="single" w:color="auto" w:sz="4" w:space="0"/>
            </w:tcBorders>
            <w:vAlign w:val="center"/>
          </w:tcPr>
          <w:p w14:paraId="7D46D105">
            <w:pPr>
              <w:widowControl/>
              <w:spacing w:line="240" w:lineRule="auto"/>
              <w:ind w:firstLine="0" w:firstLineChars="0"/>
              <w:jc w:val="center"/>
              <w:rPr>
                <w:color w:val="000000" w:themeColor="text1"/>
                <w:kern w:val="0"/>
                <w:sz w:val="21"/>
                <w:szCs w:val="21"/>
                <w14:textFill>
                  <w14:solidFill>
                    <w14:schemeClr w14:val="tx1"/>
                  </w14:solidFill>
                </w14:textFill>
              </w:rPr>
            </w:pPr>
          </w:p>
        </w:tc>
      </w:tr>
      <w:tr w14:paraId="542C18BE">
        <w:tblPrEx>
          <w:tblCellMar>
            <w:top w:w="0" w:type="dxa"/>
            <w:left w:w="108" w:type="dxa"/>
            <w:bottom w:w="0" w:type="dxa"/>
            <w:right w:w="108" w:type="dxa"/>
          </w:tblCellMar>
        </w:tblPrEx>
        <w:trPr>
          <w:trHeight w:val="340" w:hRule="atLeast"/>
          <w:jc w:val="center"/>
        </w:trPr>
        <w:tc>
          <w:tcPr>
            <w:tcW w:w="988" w:type="pct"/>
            <w:tcBorders>
              <w:top w:val="nil"/>
              <w:left w:val="single" w:color="auto" w:sz="4" w:space="0"/>
              <w:bottom w:val="single" w:color="auto" w:sz="4" w:space="0"/>
              <w:right w:val="single" w:color="auto" w:sz="4" w:space="0"/>
            </w:tcBorders>
            <w:shd w:val="clear" w:color="auto" w:fill="auto"/>
            <w:vAlign w:val="center"/>
          </w:tcPr>
          <w:p w14:paraId="28C4C42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园区污水处理厂中水</w:t>
            </w:r>
          </w:p>
        </w:tc>
        <w:tc>
          <w:tcPr>
            <w:tcW w:w="541" w:type="pct"/>
            <w:tcBorders>
              <w:top w:val="nil"/>
              <w:left w:val="nil"/>
              <w:bottom w:val="single" w:color="auto" w:sz="4" w:space="0"/>
              <w:right w:val="single" w:color="auto" w:sz="4" w:space="0"/>
            </w:tcBorders>
            <w:shd w:val="clear" w:color="auto" w:fill="auto"/>
            <w:vAlign w:val="center"/>
          </w:tcPr>
          <w:p w14:paraId="199CB8E8">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3</w:t>
            </w:r>
            <w:r>
              <w:rPr>
                <w:color w:val="000000" w:themeColor="text1"/>
                <w:kern w:val="0"/>
                <w:sz w:val="21"/>
                <w:szCs w:val="21"/>
                <w14:textFill>
                  <w14:solidFill>
                    <w14:schemeClr w14:val="tx1"/>
                  </w14:solidFill>
                </w14:textFill>
              </w:rPr>
              <w:t xml:space="preserve">150 </w:t>
            </w:r>
          </w:p>
        </w:tc>
        <w:tc>
          <w:tcPr>
            <w:tcW w:w="423" w:type="pct"/>
            <w:tcBorders>
              <w:top w:val="nil"/>
              <w:left w:val="nil"/>
              <w:bottom w:val="single" w:color="auto" w:sz="4" w:space="0"/>
              <w:right w:val="single" w:color="auto" w:sz="4" w:space="0"/>
            </w:tcBorders>
            <w:shd w:val="clear" w:color="auto" w:fill="auto"/>
            <w:vAlign w:val="center"/>
          </w:tcPr>
          <w:p w14:paraId="377BA056">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vMerge w:val="continue"/>
            <w:tcBorders>
              <w:top w:val="nil"/>
              <w:left w:val="single" w:color="auto" w:sz="4" w:space="0"/>
              <w:bottom w:val="single" w:color="auto" w:sz="4" w:space="0"/>
              <w:right w:val="single" w:color="auto" w:sz="4" w:space="0"/>
            </w:tcBorders>
            <w:vAlign w:val="center"/>
          </w:tcPr>
          <w:p w14:paraId="06A025B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2" w:type="pct"/>
            <w:vMerge w:val="continue"/>
            <w:tcBorders>
              <w:top w:val="nil"/>
              <w:left w:val="single" w:color="auto" w:sz="4" w:space="0"/>
              <w:bottom w:val="single" w:color="auto" w:sz="4" w:space="0"/>
              <w:right w:val="single" w:color="auto" w:sz="4" w:space="0"/>
            </w:tcBorders>
            <w:vAlign w:val="center"/>
          </w:tcPr>
          <w:p w14:paraId="29AD18C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tcBorders>
              <w:top w:val="nil"/>
              <w:left w:val="nil"/>
              <w:bottom w:val="single" w:color="auto" w:sz="4" w:space="0"/>
              <w:right w:val="single" w:color="auto" w:sz="4" w:space="0"/>
            </w:tcBorders>
            <w:shd w:val="clear" w:color="auto" w:fill="auto"/>
            <w:vAlign w:val="center"/>
          </w:tcPr>
          <w:p w14:paraId="78E220F0">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3</w:t>
            </w:r>
            <w:r>
              <w:rPr>
                <w:color w:val="000000" w:themeColor="text1"/>
                <w:kern w:val="0"/>
                <w:sz w:val="21"/>
                <w:szCs w:val="21"/>
                <w14:textFill>
                  <w14:solidFill>
                    <w14:schemeClr w14:val="tx1"/>
                  </w14:solidFill>
                </w14:textFill>
              </w:rPr>
              <w:t>150</w:t>
            </w:r>
          </w:p>
        </w:tc>
        <w:tc>
          <w:tcPr>
            <w:tcW w:w="403" w:type="pct"/>
            <w:tcBorders>
              <w:top w:val="nil"/>
              <w:left w:val="nil"/>
              <w:bottom w:val="single" w:color="auto" w:sz="4" w:space="0"/>
              <w:right w:val="single" w:color="auto" w:sz="4" w:space="0"/>
            </w:tcBorders>
            <w:shd w:val="clear" w:color="auto" w:fill="auto"/>
            <w:vAlign w:val="center"/>
          </w:tcPr>
          <w:p w14:paraId="323B368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vMerge w:val="continue"/>
            <w:tcBorders>
              <w:top w:val="nil"/>
              <w:left w:val="single" w:color="auto" w:sz="4" w:space="0"/>
              <w:bottom w:val="single" w:color="auto" w:sz="4" w:space="0"/>
              <w:right w:val="single" w:color="auto" w:sz="4" w:space="0"/>
            </w:tcBorders>
            <w:vAlign w:val="center"/>
          </w:tcPr>
          <w:p w14:paraId="6673FA6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479" w:type="pct"/>
            <w:vMerge w:val="continue"/>
            <w:tcBorders>
              <w:top w:val="nil"/>
              <w:left w:val="single" w:color="auto" w:sz="4" w:space="0"/>
              <w:bottom w:val="single" w:color="auto" w:sz="4" w:space="0"/>
              <w:right w:val="single" w:color="auto" w:sz="4" w:space="0"/>
            </w:tcBorders>
            <w:vAlign w:val="center"/>
          </w:tcPr>
          <w:p w14:paraId="6A0404CF">
            <w:pPr>
              <w:widowControl/>
              <w:spacing w:line="240" w:lineRule="auto"/>
              <w:ind w:firstLine="0" w:firstLineChars="0"/>
              <w:jc w:val="center"/>
              <w:rPr>
                <w:color w:val="000000" w:themeColor="text1"/>
                <w:kern w:val="0"/>
                <w:sz w:val="21"/>
                <w:szCs w:val="21"/>
                <w14:textFill>
                  <w14:solidFill>
                    <w14:schemeClr w14:val="tx1"/>
                  </w14:solidFill>
                </w14:textFill>
              </w:rPr>
            </w:pPr>
          </w:p>
        </w:tc>
      </w:tr>
      <w:tr w14:paraId="6FDA57F9">
        <w:tblPrEx>
          <w:tblCellMar>
            <w:top w:w="0" w:type="dxa"/>
            <w:left w:w="108" w:type="dxa"/>
            <w:bottom w:w="0" w:type="dxa"/>
            <w:right w:w="108" w:type="dxa"/>
          </w:tblCellMar>
        </w:tblPrEx>
        <w:trPr>
          <w:trHeight w:val="340" w:hRule="atLeast"/>
          <w:jc w:val="center"/>
        </w:trPr>
        <w:tc>
          <w:tcPr>
            <w:tcW w:w="988" w:type="pct"/>
            <w:tcBorders>
              <w:top w:val="nil"/>
              <w:left w:val="single" w:color="auto" w:sz="4" w:space="0"/>
              <w:bottom w:val="single" w:color="auto" w:sz="4" w:space="0"/>
              <w:right w:val="single" w:color="auto" w:sz="4" w:space="0"/>
            </w:tcBorders>
            <w:shd w:val="clear" w:color="auto" w:fill="auto"/>
            <w:vAlign w:val="center"/>
          </w:tcPr>
          <w:p w14:paraId="60F83F30">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合计</w:t>
            </w:r>
          </w:p>
        </w:tc>
        <w:tc>
          <w:tcPr>
            <w:tcW w:w="541" w:type="pct"/>
            <w:tcBorders>
              <w:top w:val="nil"/>
              <w:left w:val="nil"/>
              <w:bottom w:val="single" w:color="auto" w:sz="4" w:space="0"/>
              <w:right w:val="single" w:color="auto" w:sz="4" w:space="0"/>
            </w:tcBorders>
            <w:shd w:val="clear" w:color="auto" w:fill="auto"/>
            <w:noWrap/>
            <w:vAlign w:val="center"/>
          </w:tcPr>
          <w:p w14:paraId="167A2447">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9</w:t>
            </w:r>
            <w:r>
              <w:rPr>
                <w:color w:val="000000" w:themeColor="text1"/>
                <w:kern w:val="0"/>
                <w:sz w:val="21"/>
                <w:szCs w:val="21"/>
                <w14:textFill>
                  <w14:solidFill>
                    <w14:schemeClr w14:val="tx1"/>
                  </w14:solidFill>
                </w14:textFill>
              </w:rPr>
              <w:t xml:space="preserve">614.5 </w:t>
            </w:r>
          </w:p>
        </w:tc>
        <w:tc>
          <w:tcPr>
            <w:tcW w:w="423" w:type="pct"/>
            <w:tcBorders>
              <w:top w:val="nil"/>
              <w:left w:val="nil"/>
              <w:bottom w:val="single" w:color="auto" w:sz="4" w:space="0"/>
              <w:right w:val="single" w:color="auto" w:sz="4" w:space="0"/>
            </w:tcBorders>
            <w:shd w:val="clear" w:color="auto" w:fill="auto"/>
            <w:noWrap/>
            <w:vAlign w:val="center"/>
          </w:tcPr>
          <w:p w14:paraId="2D506EAE">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vMerge w:val="continue"/>
            <w:tcBorders>
              <w:top w:val="nil"/>
              <w:left w:val="single" w:color="auto" w:sz="4" w:space="0"/>
              <w:bottom w:val="single" w:color="auto" w:sz="4" w:space="0"/>
              <w:right w:val="single" w:color="auto" w:sz="4" w:space="0"/>
            </w:tcBorders>
            <w:vAlign w:val="center"/>
          </w:tcPr>
          <w:p w14:paraId="674FD1C9">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2" w:type="pct"/>
            <w:vMerge w:val="continue"/>
            <w:tcBorders>
              <w:top w:val="nil"/>
              <w:left w:val="single" w:color="auto" w:sz="4" w:space="0"/>
              <w:bottom w:val="single" w:color="auto" w:sz="4" w:space="0"/>
              <w:right w:val="single" w:color="auto" w:sz="4" w:space="0"/>
            </w:tcBorders>
            <w:vAlign w:val="center"/>
          </w:tcPr>
          <w:p w14:paraId="5B463868">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tcBorders>
              <w:top w:val="nil"/>
              <w:left w:val="nil"/>
              <w:bottom w:val="single" w:color="auto" w:sz="4" w:space="0"/>
              <w:right w:val="single" w:color="auto" w:sz="4" w:space="0"/>
            </w:tcBorders>
            <w:shd w:val="clear" w:color="auto" w:fill="auto"/>
            <w:noWrap/>
            <w:vAlign w:val="center"/>
          </w:tcPr>
          <w:p w14:paraId="2CAF54F3">
            <w:pPr>
              <w:widowControl/>
              <w:spacing w:line="240" w:lineRule="auto"/>
              <w:ind w:firstLine="0" w:firstLineChars="0"/>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9</w:t>
            </w:r>
            <w:r>
              <w:rPr>
                <w:color w:val="000000" w:themeColor="text1"/>
                <w:kern w:val="0"/>
                <w:sz w:val="21"/>
                <w:szCs w:val="21"/>
                <w14:textFill>
                  <w14:solidFill>
                    <w14:schemeClr w14:val="tx1"/>
                  </w14:solidFill>
                </w14:textFill>
              </w:rPr>
              <w:t>614.5</w:t>
            </w:r>
          </w:p>
        </w:tc>
        <w:tc>
          <w:tcPr>
            <w:tcW w:w="403" w:type="pct"/>
            <w:tcBorders>
              <w:top w:val="nil"/>
              <w:left w:val="nil"/>
              <w:bottom w:val="single" w:color="auto" w:sz="4" w:space="0"/>
              <w:right w:val="single" w:color="auto" w:sz="4" w:space="0"/>
            </w:tcBorders>
            <w:shd w:val="clear" w:color="auto" w:fill="auto"/>
            <w:noWrap/>
            <w:vAlign w:val="center"/>
          </w:tcPr>
          <w:p w14:paraId="3568AF47">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541" w:type="pct"/>
            <w:vMerge w:val="continue"/>
            <w:tcBorders>
              <w:top w:val="nil"/>
              <w:left w:val="single" w:color="auto" w:sz="4" w:space="0"/>
              <w:bottom w:val="single" w:color="auto" w:sz="4" w:space="0"/>
              <w:right w:val="single" w:color="auto" w:sz="4" w:space="0"/>
            </w:tcBorders>
            <w:vAlign w:val="center"/>
          </w:tcPr>
          <w:p w14:paraId="668AAD76">
            <w:pPr>
              <w:widowControl/>
              <w:spacing w:line="240" w:lineRule="auto"/>
              <w:ind w:firstLine="0" w:firstLineChars="0"/>
              <w:jc w:val="center"/>
              <w:rPr>
                <w:color w:val="000000" w:themeColor="text1"/>
                <w:kern w:val="0"/>
                <w:sz w:val="21"/>
                <w:szCs w:val="21"/>
                <w14:textFill>
                  <w14:solidFill>
                    <w14:schemeClr w14:val="tx1"/>
                  </w14:solidFill>
                </w14:textFill>
              </w:rPr>
            </w:pPr>
          </w:p>
        </w:tc>
        <w:tc>
          <w:tcPr>
            <w:tcW w:w="479" w:type="pct"/>
            <w:vMerge w:val="continue"/>
            <w:tcBorders>
              <w:top w:val="nil"/>
              <w:left w:val="single" w:color="auto" w:sz="4" w:space="0"/>
              <w:bottom w:val="single" w:color="auto" w:sz="4" w:space="0"/>
              <w:right w:val="single" w:color="auto" w:sz="4" w:space="0"/>
            </w:tcBorders>
            <w:vAlign w:val="center"/>
          </w:tcPr>
          <w:p w14:paraId="04C548BC">
            <w:pPr>
              <w:widowControl/>
              <w:spacing w:line="240" w:lineRule="auto"/>
              <w:ind w:firstLine="0" w:firstLineChars="0"/>
              <w:jc w:val="center"/>
              <w:rPr>
                <w:color w:val="000000" w:themeColor="text1"/>
                <w:kern w:val="0"/>
                <w:sz w:val="21"/>
                <w:szCs w:val="21"/>
                <w14:textFill>
                  <w14:solidFill>
                    <w14:schemeClr w14:val="tx1"/>
                  </w14:solidFill>
                </w14:textFill>
              </w:rPr>
            </w:pPr>
          </w:p>
        </w:tc>
      </w:tr>
    </w:tbl>
    <w:p w14:paraId="28E4D28A">
      <w:pPr>
        <w:snapToGrid w:val="0"/>
        <w:ind w:firstLine="560"/>
        <w:rPr>
          <w:color w:val="000000" w:themeColor="text1"/>
          <w:szCs w:val="28"/>
          <w14:textFill>
            <w14:solidFill>
              <w14:schemeClr w14:val="tx1"/>
            </w14:solidFill>
          </w14:textFill>
        </w:rPr>
      </w:pPr>
      <w:r>
        <w:rPr>
          <w:rFonts w:hint="eastAsia"/>
          <w:color w:val="000000" w:themeColor="text1"/>
          <w:szCs w:val="28"/>
          <w14:textFill>
            <w14:solidFill>
              <w14:schemeClr w14:val="tx1"/>
            </w14:solidFill>
          </w14:textFill>
        </w:rPr>
        <w:t>由表可知，园区可供给水资源量可以满足园区规划用水需求。</w:t>
      </w:r>
    </w:p>
    <w:p w14:paraId="48C71BCD">
      <w:pPr>
        <w:adjustRightInd w:val="0"/>
        <w:snapToGrid w:val="0"/>
        <w:spacing w:line="420" w:lineRule="auto"/>
        <w:ind w:firstLine="562"/>
        <w:jc w:val="left"/>
        <w:rPr>
          <w:b/>
          <w:bCs w:val="0"/>
          <w:color w:val="000000" w:themeColor="text1"/>
          <w:szCs w:val="28"/>
          <w14:textFill>
            <w14:solidFill>
              <w14:schemeClr w14:val="tx1"/>
            </w14:solidFill>
          </w14:textFill>
        </w:rPr>
      </w:pPr>
      <w:r>
        <w:rPr>
          <w:rFonts w:hint="eastAsia"/>
          <w:b/>
          <w:bCs w:val="0"/>
          <w:color w:val="000000" w:themeColor="text1"/>
          <w:szCs w:val="28"/>
          <w14:textFill>
            <w14:solidFill>
              <w14:schemeClr w14:val="tx1"/>
            </w14:solidFill>
          </w14:textFill>
        </w:rPr>
        <w:t>2</w:t>
      </w:r>
      <w:r>
        <w:rPr>
          <w:b/>
          <w:bCs w:val="0"/>
          <w:color w:val="000000" w:themeColor="text1"/>
          <w:szCs w:val="28"/>
          <w14:textFill>
            <w14:solidFill>
              <w14:schemeClr w14:val="tx1"/>
            </w14:solidFill>
          </w14:textFill>
        </w:rPr>
        <w:t>、水资源保护措施</w:t>
      </w:r>
    </w:p>
    <w:p w14:paraId="1059E50D">
      <w:pPr>
        <w:snapToGrid w:val="0"/>
        <w:ind w:firstLine="560"/>
        <w:rPr>
          <w:bCs w:val="0"/>
          <w:color w:val="000000" w:themeColor="text1"/>
          <w:szCs w:val="28"/>
          <w14:textFill>
            <w14:solidFill>
              <w14:schemeClr w14:val="tx1"/>
            </w14:solidFill>
          </w14:textFill>
        </w:rPr>
      </w:pPr>
      <w:r>
        <w:rPr>
          <w:rFonts w:hint="eastAsia" w:ascii="宋体" w:hAnsi="宋体" w:cs="宋体"/>
          <w:color w:val="000000" w:themeColor="text1"/>
          <w:szCs w:val="28"/>
          <w14:textFill>
            <w14:solidFill>
              <w14:schemeClr w14:val="tx1"/>
            </w14:solidFill>
          </w14:textFill>
        </w:rPr>
        <w:t>①</w:t>
      </w:r>
      <w:r>
        <w:rPr>
          <w:color w:val="000000" w:themeColor="text1"/>
          <w:szCs w:val="28"/>
          <w14:textFill>
            <w14:solidFill>
              <w14:schemeClr w14:val="tx1"/>
            </w14:solidFill>
          </w14:textFill>
        </w:rPr>
        <w:t>优先配置水资源，制定水资源规划，依据国家和地方的规定、相关行业的水资源消耗的国际先进水平，确定水资源的宏观控制指标和微观定额指标，明确园区内各单位的水资源使用权指标，确定产品生产或服务的科学用水定额；综合运用法律、行政、工程、经济、科技等多种措施，保证用水控制指标的实现；特别注意运用经济手段，发挥价格对促进节水的杠杆作用；通过制定规则，建立用水权交易市场，实行用水权有偿转让，引导水资源实现以节水、高效为目标的优化配置。</w:t>
      </w:r>
    </w:p>
    <w:p w14:paraId="32140306">
      <w:pPr>
        <w:snapToGrid w:val="0"/>
        <w:ind w:firstLine="560"/>
        <w:rPr>
          <w:color w:val="000000" w:themeColor="text1"/>
          <w14:textFill>
            <w14:solidFill>
              <w14:schemeClr w14:val="tx1"/>
            </w14:solidFill>
          </w14:textFill>
        </w:rPr>
      </w:pPr>
      <w:r>
        <w:rPr>
          <w:rFonts w:hint="eastAsia" w:ascii="宋体" w:hAnsi="宋体" w:cs="宋体"/>
          <w:color w:val="000000" w:themeColor="text1"/>
          <w:szCs w:val="28"/>
          <w14:textFill>
            <w14:solidFill>
              <w14:schemeClr w14:val="tx1"/>
            </w14:solidFill>
          </w14:textFill>
        </w:rPr>
        <w:t>②</w:t>
      </w:r>
      <w:r>
        <w:rPr>
          <w:color w:val="000000" w:themeColor="text1"/>
          <w:szCs w:val="28"/>
          <w14:textFill>
            <w14:solidFill>
              <w14:schemeClr w14:val="tx1"/>
            </w14:solidFill>
          </w14:textFill>
        </w:rPr>
        <w:t>构建园区内的水资源利用信息平台，协调污水厂的污水收集、处置及中水回用，根据入区企业生产用水水质要求，引导企业之间水</w:t>
      </w:r>
      <w:r>
        <w:rPr>
          <w:color w:val="000000" w:themeColor="text1"/>
          <w14:textFill>
            <w14:solidFill>
              <w14:schemeClr w14:val="tx1"/>
            </w14:solidFill>
          </w14:textFill>
        </w:rPr>
        <w:t>资源梯级利用，节约水资源的同时降低企业的生产成本。提高园区水资源的循环利用水平及污水处理设施利用的综合效益。园区可以协调与周边地区的水资源梯级利用。</w:t>
      </w:r>
    </w:p>
    <w:p w14:paraId="426BD29C">
      <w:pPr>
        <w:snapToGrid w:val="0"/>
        <w:ind w:firstLine="56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t>要求入区企业采用节水减污的清洁生产技术，强调实行循环用水，新建项目在工程论证、规划、设计、立项、开工的审批过程中，应严格层层把关，确保污水达标排放。</w:t>
      </w:r>
    </w:p>
    <w:p w14:paraId="683EFA47">
      <w:pPr>
        <w:snapToGrid w:val="0"/>
        <w:ind w:firstLine="560"/>
        <w:rPr>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t>为了实现对水资源的保护，对园区水资源利用提出指标要求，水耗指标达到国内先进水平。</w:t>
      </w:r>
      <w:bookmarkStart w:id="776" w:name="_Toc134812760"/>
      <w:bookmarkStart w:id="777" w:name="_Toc134813260"/>
      <w:bookmarkStart w:id="778" w:name="_Toc134813123"/>
      <w:bookmarkStart w:id="779" w:name="_Toc134813397"/>
    </w:p>
    <w:p w14:paraId="5EB2EBF1">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780" w:name="_Toc192675968"/>
      <w:r>
        <w:rPr>
          <w:rFonts w:ascii="Times New Roman" w:hAnsi="Times New Roman" w:eastAsia="黑体"/>
          <w:b/>
          <w:color w:val="000000" w:themeColor="text1"/>
          <w:sz w:val="30"/>
          <w:szCs w:val="30"/>
          <w14:textFill>
            <w14:solidFill>
              <w14:schemeClr w14:val="tx1"/>
            </w14:solidFill>
          </w14:textFill>
        </w:rPr>
        <w:t>社会条件承载力分析</w:t>
      </w:r>
      <w:bookmarkEnd w:id="715"/>
      <w:bookmarkEnd w:id="716"/>
      <w:bookmarkEnd w:id="717"/>
      <w:bookmarkEnd w:id="718"/>
      <w:bookmarkEnd w:id="776"/>
      <w:bookmarkEnd w:id="777"/>
      <w:bookmarkEnd w:id="778"/>
      <w:bookmarkEnd w:id="779"/>
      <w:bookmarkEnd w:id="780"/>
    </w:p>
    <w:p w14:paraId="7667B378">
      <w:pPr>
        <w:pStyle w:val="97"/>
        <w:numPr>
          <w:ilvl w:val="2"/>
          <w:numId w:val="7"/>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781" w:name="_Toc192675969"/>
      <w:r>
        <w:rPr>
          <w:rFonts w:ascii="Times New Roman" w:hAnsi="Times New Roman" w:eastAsia="黑体"/>
          <w:b/>
          <w:color w:val="000000" w:themeColor="text1"/>
          <w:sz w:val="30"/>
          <w:szCs w:val="30"/>
          <w14:textFill>
            <w14:solidFill>
              <w14:schemeClr w14:val="tx1"/>
            </w14:solidFill>
          </w14:textFill>
        </w:rPr>
        <w:t>热、电供应能力</w:t>
      </w:r>
      <w:bookmarkEnd w:id="781"/>
    </w:p>
    <w:p w14:paraId="70193956">
      <w:pPr>
        <w:adjustRightInd w:val="0"/>
        <w:snapToGrid w:val="0"/>
        <w:spacing w:line="420" w:lineRule="auto"/>
        <w:ind w:firstLine="562"/>
        <w:jc w:val="left"/>
        <w:rPr>
          <w:b/>
          <w:color w:val="000000" w:themeColor="text1"/>
          <w:szCs w:val="28"/>
          <w14:textFill>
            <w14:solidFill>
              <w14:schemeClr w14:val="tx1"/>
            </w14:solidFill>
          </w14:textFill>
        </w:rPr>
      </w:pPr>
      <w:r>
        <w:rPr>
          <w:b/>
          <w:color w:val="000000" w:themeColor="text1"/>
          <w:szCs w:val="28"/>
          <w14:textFill>
            <w14:solidFill>
              <w14:schemeClr w14:val="tx1"/>
            </w14:solidFill>
          </w14:textFill>
        </w:rPr>
        <w:t>（1） 供热</w:t>
      </w:r>
    </w:p>
    <w:p w14:paraId="44AE62C1">
      <w:pPr>
        <w:pStyle w:val="95"/>
        <w:jc w:val="both"/>
        <w:outlineLvl w:val="9"/>
      </w:pPr>
      <w:r>
        <w:t>园区目前集中供热热源为内蒙古新源光热有限责任公司太阳能供热系统，内蒙古新源光热有限责任公司成立于2016年5月，太阳能供热系统由集热系统、循环系统、储能系统，以及控制系统四大部分组成。现已建成集中光热集热镜场9.3万m</w:t>
      </w:r>
      <w:r>
        <w:rPr>
          <w:vertAlign w:val="superscript"/>
        </w:rPr>
        <w:t>2</w:t>
      </w:r>
      <w:r>
        <w:t>，实现年收集热能1.79亿千瓦时（合63.3万GJ）；已铺设供热管线14.5km，覆盖50万m</w:t>
      </w:r>
      <w:r>
        <w:rPr>
          <w:vertAlign w:val="superscript"/>
        </w:rPr>
        <w:t>2</w:t>
      </w:r>
      <w:r>
        <w:t>。</w:t>
      </w:r>
    </w:p>
    <w:p w14:paraId="45B53124">
      <w:pPr>
        <w:pStyle w:val="95"/>
        <w:jc w:val="both"/>
        <w:outlineLvl w:val="9"/>
      </w:pPr>
      <w:r>
        <w:t>园区规划集中供热通过多能互补方式的清洁能源供热，采用太阳能光热镜场与三电厂热电联产相互补充方式为园区北部规划区企业及周边商住提供清洁供热服务，解决规划区企业冬季供暖需求，多能互补的供热总能力约为200万m</w:t>
      </w:r>
      <w:r>
        <w:rPr>
          <w:vertAlign w:val="superscript"/>
        </w:rPr>
        <w:t>2</w:t>
      </w:r>
      <w:r>
        <w:t>，可实现对装备园区北部规划区企业供暖需求。其中，北方联合电力有限责任公司第三热电厂（三电厂）位于内蒙古包头市九原区黄草洼村西侧，2×300MW供热机组分别于2006年11月20日、2007年6月20日投产运行。目前，电厂除向蒙西电网供电外，还主要承担着九原区、包头职教园区、二O二厂及石拐新区的集中供热任务，是包头市城区重要的热源点。规划期三电厂对装备园区规划区的供热面积约为150万m</w:t>
      </w:r>
      <w:r>
        <w:rPr>
          <w:vertAlign w:val="superscript"/>
        </w:rPr>
        <w:t>2</w:t>
      </w:r>
      <w:r>
        <w:t>。内蒙古新源光热有限责任公司太阳能光热镜场项目位于包头装备制造产业园区范围内，主要建设内容包括9.34万平方米集热镜场、1.69万平方米保温水箱，可供热能1.79亿kwh/a（合63.3万GJ），太阳能光热镜场的供热面积约为50万m</w:t>
      </w:r>
      <w:r>
        <w:rPr>
          <w:vertAlign w:val="superscript"/>
        </w:rPr>
        <w:t>2</w:t>
      </w:r>
      <w:r>
        <w:t>。</w:t>
      </w:r>
    </w:p>
    <w:p w14:paraId="50653675">
      <w:pPr>
        <w:pStyle w:val="95"/>
        <w:jc w:val="both"/>
        <w:outlineLvl w:val="9"/>
      </w:pPr>
      <w:r>
        <w:t>园区南部已建区现状开发利用程度较高，以装备制造类企业为主，企业仍以现状已建成的燃气锅炉和电锅炉作为供热热源。园区目前在与二电厂、三电厂、北源热力沟通对接热源，逐步实现园区整体集中供热。</w:t>
      </w:r>
    </w:p>
    <w:p w14:paraId="07F734F4">
      <w:pPr>
        <w:adjustRightInd w:val="0"/>
        <w:snapToGrid w:val="0"/>
        <w:spacing w:line="420" w:lineRule="auto"/>
        <w:ind w:firstLine="562"/>
        <w:jc w:val="left"/>
        <w:rPr>
          <w:b/>
          <w:color w:val="000000" w:themeColor="text1"/>
          <w:szCs w:val="28"/>
          <w14:textFill>
            <w14:solidFill>
              <w14:schemeClr w14:val="tx1"/>
            </w14:solidFill>
          </w14:textFill>
        </w:rPr>
      </w:pPr>
      <w:r>
        <w:rPr>
          <w:b/>
          <w:color w:val="000000" w:themeColor="text1"/>
          <w:szCs w:val="28"/>
          <w14:textFill>
            <w14:solidFill>
              <w14:schemeClr w14:val="tx1"/>
            </w14:solidFill>
          </w14:textFill>
        </w:rPr>
        <w:t>（2）电力能源需求</w:t>
      </w:r>
    </w:p>
    <w:p w14:paraId="11B7BFB5">
      <w:pPr>
        <w:pStyle w:val="95"/>
        <w:jc w:val="both"/>
        <w:outlineLvl w:val="9"/>
        <w:rPr>
          <w:bCs w:val="0"/>
          <w:kern w:val="0"/>
          <w:sz w:val="24"/>
        </w:rPr>
      </w:pPr>
      <w:r>
        <w:t>园区位于包北500kV变电站与威俊500kV变电站组成的联合供电区，园区供电网络已全覆盖。随着光伏产业不断集聚，园区加大对变电站的建设力度，共建设有15座变电站，公共变电站6座、企业变电站9座。公共变电站中，220kV变电站3座，110kV变电站3座，分别为：大德恒220kV变、应益220kV变、沙河220kV变、青园110kv变、当铺110kV变、宏庆德110变。企业变电站中，220kV变电站2座，110kV变电站6座，35kV变电站1座，分别为弘元220kV变、晶澳220kV变、阿特斯110kV变、比亚迪110kV变、弘元110kV变2座、晶澳110kV变、杉杉110kV变、栢特35kV变。其中，弘元220kV变、比亚迪110kV变正在建设。</w:t>
      </w:r>
    </w:p>
    <w:p w14:paraId="5ADEF000">
      <w:pPr>
        <w:pStyle w:val="95"/>
        <w:jc w:val="both"/>
        <w:outlineLvl w:val="9"/>
      </w:pPr>
      <w:r>
        <w:t>随着光伏产业不断延链补链，用电负荷不断增加，提前规划布局供电网络，实施包北500千伏变电站扩建，突破规模扩建第5台主变电站，容量750MVA，夯实园区企业用电保障。</w:t>
      </w:r>
    </w:p>
    <w:p w14:paraId="7C3BEC11">
      <w:pPr>
        <w:pStyle w:val="95"/>
        <w:jc w:val="both"/>
        <w:outlineLvl w:val="9"/>
      </w:pPr>
      <w:r>
        <w:t>根据预测计算，园区近期新增用电量约为150.081亿kWh/a，远期新增用电量约为56.179亿kWh/a，通过园区现有及规划供电系统，总体可以满足园区近、远期规划项目的电力需求</w:t>
      </w:r>
      <w:r>
        <w:rPr>
          <w:szCs w:val="28"/>
        </w:rPr>
        <w:t>。</w:t>
      </w:r>
    </w:p>
    <w:p w14:paraId="28C838E0">
      <w:pPr>
        <w:pStyle w:val="97"/>
        <w:numPr>
          <w:ilvl w:val="2"/>
          <w:numId w:val="7"/>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782" w:name="_Toc192675970"/>
      <w:r>
        <w:rPr>
          <w:rFonts w:ascii="Times New Roman" w:hAnsi="Times New Roman" w:eastAsia="黑体"/>
          <w:b/>
          <w:color w:val="000000" w:themeColor="text1"/>
          <w:sz w:val="30"/>
          <w:szCs w:val="30"/>
          <w14:textFill>
            <w14:solidFill>
              <w14:schemeClr w14:val="tx1"/>
            </w14:solidFill>
          </w14:textFill>
        </w:rPr>
        <w:t>交通运输</w:t>
      </w:r>
      <w:bookmarkEnd w:id="782"/>
    </w:p>
    <w:p w14:paraId="67620CAB">
      <w:pPr>
        <w:snapToGrid w:val="0"/>
        <w:ind w:firstLine="560"/>
        <w:rPr>
          <w:szCs w:val="28"/>
        </w:rPr>
      </w:pPr>
      <w:r>
        <w:rPr>
          <w:szCs w:val="28"/>
        </w:rPr>
        <w:t>目前园区交通条件便利，除现有G6高速公路、京青线、211省道、包环铁路作为园区对外联系的主要通道外，园区与包头市区主要联系干道有青山路、建华路等。从而形成与周边地区的紧密联系，同时也保证了园区内货物进出的快捷便利，为园区的发展创造了不可多得的交通优势。</w:t>
      </w:r>
    </w:p>
    <w:p w14:paraId="6767404B">
      <w:pPr>
        <w:snapToGrid w:val="0"/>
        <w:ind w:firstLine="560"/>
        <w:rPr>
          <w:szCs w:val="28"/>
        </w:rPr>
      </w:pPr>
      <w:r>
        <w:rPr>
          <w:szCs w:val="28"/>
        </w:rPr>
        <w:t>（1）铁路</w:t>
      </w:r>
    </w:p>
    <w:p w14:paraId="3B757994">
      <w:pPr>
        <w:snapToGrid w:val="0"/>
        <w:ind w:firstLine="560"/>
        <w:rPr>
          <w:szCs w:val="28"/>
        </w:rPr>
      </w:pPr>
      <w:r>
        <w:rPr>
          <w:szCs w:val="28"/>
        </w:rPr>
        <w:t>装备园区内有环城铁路通过，是包头市铁路枢纽环线，包环铁路是以货运为主的地方铁路。全长约30km，连接沟通了京包铁路、包兰铁路、包神铁路等铁路干线。包环铁路在规划区东侧有一座货运站场为二道沙河站。</w:t>
      </w:r>
    </w:p>
    <w:p w14:paraId="27AFF397">
      <w:pPr>
        <w:snapToGrid w:val="0"/>
        <w:ind w:firstLine="560"/>
        <w:rPr>
          <w:szCs w:val="28"/>
        </w:rPr>
      </w:pPr>
      <w:r>
        <w:rPr>
          <w:szCs w:val="28"/>
        </w:rPr>
        <w:t>（2）公路</w:t>
      </w:r>
    </w:p>
    <w:p w14:paraId="1C056AD4">
      <w:pPr>
        <w:snapToGrid w:val="0"/>
        <w:ind w:firstLine="560"/>
        <w:rPr>
          <w:szCs w:val="28"/>
        </w:rPr>
      </w:pPr>
      <w:r>
        <w:rPr>
          <w:szCs w:val="28"/>
        </w:rPr>
        <w:t>现状装备制造产业园区主要对外联系公路有京藏高速、京青线、211省道、青大公路等，对外交通比较便利。</w:t>
      </w:r>
    </w:p>
    <w:p w14:paraId="675A7E6D">
      <w:pPr>
        <w:snapToGrid w:val="0"/>
        <w:ind w:firstLine="560"/>
        <w:rPr>
          <w:szCs w:val="28"/>
        </w:rPr>
      </w:pPr>
      <w:r>
        <w:rPr>
          <w:rFonts w:hint="eastAsia" w:ascii="宋体" w:hAnsi="宋体" w:cs="宋体"/>
          <w:szCs w:val="28"/>
        </w:rPr>
        <w:t>①</w:t>
      </w:r>
      <w:r>
        <w:rPr>
          <w:szCs w:val="28"/>
        </w:rPr>
        <w:t>京藏高速公路</w:t>
      </w:r>
    </w:p>
    <w:p w14:paraId="64801BDD">
      <w:pPr>
        <w:snapToGrid w:val="0"/>
        <w:ind w:firstLine="560"/>
        <w:rPr>
          <w:szCs w:val="28"/>
        </w:rPr>
      </w:pPr>
      <w:r>
        <w:rPr>
          <w:szCs w:val="28"/>
        </w:rPr>
        <w:t>京藏高速公路既是内蒙古能源输出大动脉，也是北京通往大西北的公路主干。2013年G6高速内蒙古呼包段完成双向车道“四改八”工程。G6高速包头青山互通工程于2017年10月开工建设，2022年7月18日，京藏高速包头青山互通出口正式开通。G6京藏高速包头青山互通出口，位于包头市中心城区北侧，青山区境内。该出口的建设，实现了包头市G6高速沿线区、旗县全部与G6高速直接互联互通，增强了包头市发展对外的辐射带动功能和对内集合集聚作用。</w:t>
      </w:r>
    </w:p>
    <w:p w14:paraId="3E3CE876">
      <w:pPr>
        <w:snapToGrid w:val="0"/>
        <w:ind w:firstLine="560"/>
        <w:rPr>
          <w:szCs w:val="28"/>
        </w:rPr>
      </w:pPr>
      <w:r>
        <w:rPr>
          <w:rFonts w:hint="eastAsia" w:ascii="宋体" w:hAnsi="宋体" w:cs="宋体"/>
          <w:szCs w:val="28"/>
        </w:rPr>
        <w:t>②</w:t>
      </w:r>
      <w:r>
        <w:rPr>
          <w:szCs w:val="28"/>
        </w:rPr>
        <w:t>京青线</w:t>
      </w:r>
    </w:p>
    <w:p w14:paraId="46BFBAA2">
      <w:pPr>
        <w:snapToGrid w:val="0"/>
        <w:ind w:firstLine="560"/>
        <w:rPr>
          <w:szCs w:val="28"/>
        </w:rPr>
      </w:pPr>
      <w:r>
        <w:rPr>
          <w:szCs w:val="28"/>
        </w:rPr>
        <w:t>京青线（110国道）是北京~银川的重要交通干线。其中包头城区段变更为城市道路，作为贯通包头市昆区、青山、九原区以及东河区的交通经济主干道，为城市向北部区发展拓宽了空间，为沿线22.8公里的企业和市民通行提供便利。过去110国道宽34米，改造完成后，实现了双向10车道，变成了60米宽，同时配备8.39公里城市地下综合管廊，硬件基础设施均与中心城区相媲美，打造包头第二条“钢铁大街。</w:t>
      </w:r>
    </w:p>
    <w:p w14:paraId="3DDF788A">
      <w:pPr>
        <w:snapToGrid w:val="0"/>
        <w:ind w:firstLine="560"/>
        <w:rPr>
          <w:szCs w:val="28"/>
        </w:rPr>
      </w:pPr>
      <w:r>
        <w:rPr>
          <w:rFonts w:hint="eastAsia" w:ascii="宋体" w:hAnsi="宋体" w:cs="宋体"/>
          <w:szCs w:val="28"/>
        </w:rPr>
        <w:t>③</w:t>
      </w:r>
      <w:r>
        <w:rPr>
          <w:szCs w:val="28"/>
        </w:rPr>
        <w:t>211省道</w:t>
      </w:r>
    </w:p>
    <w:p w14:paraId="1D9618F0">
      <w:pPr>
        <w:snapToGrid w:val="0"/>
        <w:ind w:firstLine="560"/>
        <w:rPr>
          <w:szCs w:val="28"/>
        </w:rPr>
      </w:pPr>
      <w:r>
        <w:rPr>
          <w:szCs w:val="28"/>
        </w:rPr>
        <w:t>211省道为二级公路，与210国道相连，210国道与京藏高速公路互通立交以北称为211省道，本段也称为包固公路，路面宽14m。</w:t>
      </w:r>
    </w:p>
    <w:p w14:paraId="3538BE11">
      <w:pPr>
        <w:snapToGrid w:val="0"/>
        <w:ind w:firstLine="560"/>
        <w:rPr>
          <w:szCs w:val="28"/>
        </w:rPr>
      </w:pPr>
      <w:r>
        <w:rPr>
          <w:szCs w:val="28"/>
        </w:rPr>
        <w:t>规划包固公路提高标准至一级公路，路面宽24.5m。</w:t>
      </w:r>
    </w:p>
    <w:p w14:paraId="6810DCE8">
      <w:pPr>
        <w:snapToGrid w:val="0"/>
        <w:ind w:firstLine="560"/>
        <w:rPr>
          <w:szCs w:val="28"/>
        </w:rPr>
      </w:pPr>
      <w:r>
        <w:rPr>
          <w:rFonts w:hint="eastAsia" w:ascii="宋体" w:hAnsi="宋体" w:cs="宋体"/>
          <w:szCs w:val="28"/>
        </w:rPr>
        <w:t>④</w:t>
      </w:r>
      <w:r>
        <w:rPr>
          <w:szCs w:val="28"/>
        </w:rPr>
        <w:t>青大公路</w:t>
      </w:r>
    </w:p>
    <w:p w14:paraId="6482F9CF">
      <w:pPr>
        <w:snapToGrid w:val="0"/>
        <w:ind w:firstLine="560"/>
        <w:rPr>
          <w:szCs w:val="28"/>
        </w:rPr>
      </w:pPr>
      <w:r>
        <w:rPr>
          <w:szCs w:val="28"/>
        </w:rPr>
        <w:t>青大公路（青山区—大庙）位于园区北侧，为二级公路，路面宽11m。</w:t>
      </w:r>
    </w:p>
    <w:p w14:paraId="36FB4155">
      <w:pPr>
        <w:snapToGrid w:val="0"/>
        <w:ind w:firstLine="560"/>
        <w:rPr>
          <w:szCs w:val="28"/>
        </w:rPr>
      </w:pPr>
      <w:r>
        <w:rPr>
          <w:szCs w:val="28"/>
        </w:rPr>
        <w:t>规划将青大公路改为城市道路，双向六车道加非机动车道，路面宽26m。</w:t>
      </w:r>
    </w:p>
    <w:p w14:paraId="519BF233">
      <w:pPr>
        <w:snapToGrid w:val="0"/>
        <w:ind w:firstLine="560"/>
        <w:rPr>
          <w:szCs w:val="28"/>
        </w:rPr>
      </w:pPr>
      <w:r>
        <w:rPr>
          <w:szCs w:val="28"/>
        </w:rPr>
        <w:t>由此可以看出，随着装备制造产业园区规划项目的不断入驻，园区对外交通主要依靠包头市及周边公路、铁路规划，交通运输能力的发展可以满足装备制造产业园区总体规划的要求。</w:t>
      </w:r>
    </w:p>
    <w:p w14:paraId="1D244062">
      <w:pPr>
        <w:pStyle w:val="97"/>
        <w:numPr>
          <w:ilvl w:val="2"/>
          <w:numId w:val="7"/>
        </w:numPr>
        <w:adjustRightInd w:val="0"/>
        <w:snapToGrid w:val="0"/>
        <w:ind w:firstLineChars="0"/>
        <w:jc w:val="left"/>
        <w:outlineLvl w:val="2"/>
        <w:rPr>
          <w:rFonts w:ascii="Times New Roman" w:hAnsi="Times New Roman" w:eastAsia="黑体"/>
          <w:b/>
          <w:color w:val="000000" w:themeColor="text1"/>
          <w:sz w:val="30"/>
          <w:szCs w:val="30"/>
          <w14:textFill>
            <w14:solidFill>
              <w14:schemeClr w14:val="tx1"/>
            </w14:solidFill>
          </w14:textFill>
        </w:rPr>
      </w:pPr>
      <w:bookmarkStart w:id="783" w:name="_Toc192675971"/>
      <w:r>
        <w:rPr>
          <w:rFonts w:ascii="Times New Roman" w:hAnsi="Times New Roman" w:eastAsia="黑体"/>
          <w:b/>
          <w:color w:val="000000" w:themeColor="text1"/>
          <w:sz w:val="30"/>
          <w:szCs w:val="30"/>
          <w14:textFill>
            <w14:solidFill>
              <w14:schemeClr w14:val="tx1"/>
            </w14:solidFill>
          </w14:textFill>
        </w:rPr>
        <w:t>天然气承载力分析</w:t>
      </w:r>
      <w:bookmarkEnd w:id="783"/>
    </w:p>
    <w:p w14:paraId="2B5466D8">
      <w:pPr>
        <w:snapToGrid w:val="0"/>
        <w:ind w:firstLine="560"/>
        <w:rPr>
          <w:szCs w:val="28"/>
        </w:rPr>
      </w:pPr>
      <w:r>
        <w:rPr>
          <w:szCs w:val="28"/>
        </w:rPr>
        <w:t>天然气是清洁高效的能源，是优化园区乃至包头市能源消费结构，改善城市环境，防止煤烟型污染的重要途径之一。考虑到包头市正在创建环保模范城市，天然气等清洁能源是园区重要的工业燃料之一。根据第六章资源环境压力分析结果，到规划期末，园区2030年末天然气需求量约为0.45亿m</w:t>
      </w:r>
      <w:r>
        <w:rPr>
          <w:szCs w:val="28"/>
          <w:vertAlign w:val="superscript"/>
        </w:rPr>
        <w:t>3</w:t>
      </w:r>
      <w:r>
        <w:rPr>
          <w:szCs w:val="28"/>
        </w:rPr>
        <w:t>，2035年末天然气需求量约为0.65亿m</w:t>
      </w:r>
      <w:r>
        <w:rPr>
          <w:szCs w:val="28"/>
          <w:vertAlign w:val="superscript"/>
        </w:rPr>
        <w:t>3</w:t>
      </w:r>
      <w:r>
        <w:rPr>
          <w:szCs w:val="28"/>
        </w:rPr>
        <w:t>。</w:t>
      </w:r>
    </w:p>
    <w:p w14:paraId="5C425A43">
      <w:pPr>
        <w:snapToGrid w:val="0"/>
        <w:ind w:firstLine="560"/>
        <w:rPr>
          <w:szCs w:val="28"/>
        </w:rPr>
      </w:pPr>
      <w:r>
        <w:rPr>
          <w:szCs w:val="28"/>
        </w:rPr>
        <w:t>包头市的天然气主要由“西气东输”支线——长呼天然气管道供应，天然气气源来自长庆气田，由包头市燃气公司负责供应，城市天然气输配系统主要由门站、高压管道、高中压调压站、中压管网、用户调压设施等组成。根据气源的接受方向和城市布局，在城市东南部及西部布置天然气接受门站。天然气经长输管线至包头分输站进入东河、东兴门站、包头西门站，并引出高压输气干管，分别向北、向西供应铝厂、一机厂、二机厂、包钢及希望铝业等大型用户，同时沿途输送至各区储配站调至中压后经中压配气管网供应各中心城区，最终在2010年前形成高压环网、稳定安全的供气网络。目前居民用户已达65027户，公建用户123户，工业用户若干等，已建成门站2座，储配站1座，高压管网90km，高中压调压站6座。目前包头市工业用户天然气置换速度加快，每年需求量巨大，在未来一段时期内，天然气使用规模将会快速壮大。</w:t>
      </w:r>
    </w:p>
    <w:p w14:paraId="20C86164">
      <w:pPr>
        <w:snapToGrid w:val="0"/>
        <w:ind w:firstLine="560"/>
        <w:rPr>
          <w:szCs w:val="28"/>
        </w:rPr>
      </w:pPr>
      <w:r>
        <w:rPr>
          <w:szCs w:val="28"/>
        </w:rPr>
        <w:t>根据园区燃气规划可知：规划高压管道沿兴园路进入园区，管径为DN400，其他道路下燃气管管径不小于DN150。中压燃气经箱式调压器或专用调压器调压后进入用户。为确保供气安全可靠，气压稳定，中压主干管的布置采用环状为主、环状和枝状相结合的方式。长呼管线目前供应能力是10亿m</w:t>
      </w:r>
      <w:r>
        <w:rPr>
          <w:szCs w:val="28"/>
          <w:vertAlign w:val="superscript"/>
        </w:rPr>
        <w:t>3</w:t>
      </w:r>
      <w:r>
        <w:rPr>
          <w:szCs w:val="28"/>
        </w:rPr>
        <w:t>,目前已实现供气4亿m</w:t>
      </w:r>
      <w:r>
        <w:rPr>
          <w:szCs w:val="28"/>
          <w:vertAlign w:val="superscript"/>
        </w:rPr>
        <w:t>3</w:t>
      </w:r>
      <w:r>
        <w:rPr>
          <w:szCs w:val="28"/>
        </w:rPr>
        <w:t>，有很大余量，具有较强的供气及输配能力，可满足园区内各类大中小型工业用户的生产用气需要。</w:t>
      </w:r>
    </w:p>
    <w:p w14:paraId="245B37C3">
      <w:pPr>
        <w:snapToGrid w:val="0"/>
        <w:ind w:firstLine="560"/>
        <w:rPr>
          <w:sz w:val="21"/>
          <w:szCs w:val="21"/>
        </w:rPr>
      </w:pPr>
      <w:r>
        <w:rPr>
          <w:szCs w:val="28"/>
        </w:rPr>
        <w:t>天然气的利用与发展，一方面要结合整个包头市未来发展的需求，发掘潜在用户，积极争取用气指标；另一方面要加强基础设施建设，新建供气设施和管道，保证园区工业企业用气。</w:t>
      </w:r>
      <w:r>
        <w:rPr>
          <w:rFonts w:eastAsia="黑体"/>
          <w:b/>
          <w:sz w:val="30"/>
          <w:szCs w:val="30"/>
        </w:rPr>
        <w:br w:type="page"/>
      </w:r>
      <w:bookmarkStart w:id="784" w:name="_Toc134812761"/>
      <w:bookmarkStart w:id="785" w:name="_Toc134813261"/>
      <w:bookmarkStart w:id="786" w:name="_Toc134813398"/>
      <w:bookmarkStart w:id="787" w:name="_Toc134813124"/>
    </w:p>
    <w:p w14:paraId="71051E52">
      <w:pPr>
        <w:adjustRightInd w:val="0"/>
        <w:snapToGrid w:val="0"/>
        <w:ind w:firstLine="199" w:firstLineChars="55"/>
        <w:jc w:val="left"/>
        <w:outlineLvl w:val="0"/>
        <w:rPr>
          <w:b/>
          <w:color w:val="000000" w:themeColor="text1"/>
          <w:sz w:val="36"/>
          <w:szCs w:val="36"/>
          <w14:textFill>
            <w14:solidFill>
              <w14:schemeClr w14:val="tx1"/>
            </w14:solidFill>
          </w14:textFill>
        </w:rPr>
      </w:pPr>
      <w:bookmarkStart w:id="788" w:name="_Toc192675972"/>
      <w:r>
        <w:rPr>
          <w:rFonts w:eastAsia="黑体"/>
          <w:b/>
          <w:color w:val="000000" w:themeColor="text1"/>
          <w:sz w:val="36"/>
          <w:szCs w:val="36"/>
          <w14:textFill>
            <w14:solidFill>
              <w14:schemeClr w14:val="tx1"/>
            </w14:solidFill>
          </w14:textFill>
        </w:rPr>
        <w:t>8 节能与环境保护</w:t>
      </w:r>
      <w:bookmarkEnd w:id="784"/>
      <w:bookmarkEnd w:id="785"/>
      <w:bookmarkEnd w:id="786"/>
      <w:bookmarkEnd w:id="787"/>
      <w:bookmarkEnd w:id="788"/>
    </w:p>
    <w:p w14:paraId="719967B4">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789" w:name="_Toc186205329"/>
      <w:bookmarkEnd w:id="789"/>
      <w:bookmarkStart w:id="790" w:name="_Toc190952349"/>
      <w:bookmarkEnd w:id="790"/>
      <w:bookmarkStart w:id="791" w:name="_Toc182320743"/>
      <w:bookmarkEnd w:id="791"/>
      <w:bookmarkStart w:id="792" w:name="_Toc144211379"/>
      <w:bookmarkEnd w:id="792"/>
      <w:bookmarkStart w:id="793" w:name="_Toc134812904"/>
      <w:bookmarkEnd w:id="793"/>
      <w:bookmarkStart w:id="794" w:name="_Toc150948019"/>
      <w:bookmarkEnd w:id="794"/>
      <w:bookmarkStart w:id="795" w:name="_Toc162446378"/>
      <w:bookmarkEnd w:id="795"/>
      <w:bookmarkStart w:id="796" w:name="_Toc134813399"/>
      <w:bookmarkEnd w:id="796"/>
      <w:bookmarkStart w:id="797" w:name="_Toc145341299"/>
      <w:bookmarkEnd w:id="797"/>
      <w:bookmarkStart w:id="798" w:name="_Toc159406806"/>
      <w:bookmarkEnd w:id="798"/>
      <w:bookmarkStart w:id="799" w:name="_Toc192675973"/>
      <w:bookmarkEnd w:id="799"/>
      <w:bookmarkStart w:id="800" w:name="_Toc156553727"/>
      <w:bookmarkEnd w:id="800"/>
      <w:bookmarkStart w:id="801" w:name="_Toc148367141"/>
      <w:bookmarkEnd w:id="801"/>
      <w:bookmarkStart w:id="802" w:name="_Toc156553097"/>
      <w:bookmarkEnd w:id="802"/>
      <w:bookmarkStart w:id="803" w:name="_Toc134813262"/>
      <w:bookmarkEnd w:id="803"/>
      <w:bookmarkStart w:id="804" w:name="_Toc190952901"/>
      <w:bookmarkEnd w:id="804"/>
      <w:bookmarkStart w:id="805" w:name="_Toc145344543"/>
      <w:bookmarkEnd w:id="805"/>
      <w:bookmarkStart w:id="806" w:name="_Toc134812762"/>
      <w:bookmarkEnd w:id="806"/>
      <w:bookmarkStart w:id="807" w:name="_Toc161132338"/>
      <w:bookmarkEnd w:id="807"/>
      <w:bookmarkStart w:id="808" w:name="_Toc161133178"/>
      <w:bookmarkEnd w:id="808"/>
      <w:bookmarkStart w:id="809" w:name="_Toc134813125"/>
      <w:bookmarkEnd w:id="809"/>
      <w:bookmarkStart w:id="810" w:name="_Toc134813833"/>
      <w:bookmarkEnd w:id="810"/>
      <w:bookmarkStart w:id="811" w:name="_Toc417157265"/>
      <w:bookmarkStart w:id="812" w:name="_Toc417157184"/>
      <w:bookmarkStart w:id="813" w:name="_Toc417156809"/>
      <w:bookmarkStart w:id="814" w:name="_Toc417156897"/>
    </w:p>
    <w:p w14:paraId="6BF06F3A">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15" w:name="_Toc134813126"/>
      <w:bookmarkStart w:id="816" w:name="_Toc134813263"/>
      <w:bookmarkStart w:id="817" w:name="_Toc134813400"/>
      <w:bookmarkStart w:id="818" w:name="_Toc192675974"/>
      <w:bookmarkStart w:id="819" w:name="_Toc134812763"/>
      <w:r>
        <w:rPr>
          <w:rFonts w:ascii="Times New Roman" w:hAnsi="Times New Roman" w:eastAsia="黑体"/>
          <w:b/>
          <w:color w:val="000000" w:themeColor="text1"/>
          <w:sz w:val="30"/>
          <w:szCs w:val="30"/>
          <w14:textFill>
            <w14:solidFill>
              <w14:schemeClr w14:val="tx1"/>
            </w14:solidFill>
          </w14:textFill>
        </w:rPr>
        <w:t>主要污染物排放量预测</w:t>
      </w:r>
      <w:bookmarkEnd w:id="815"/>
      <w:bookmarkEnd w:id="816"/>
      <w:bookmarkEnd w:id="817"/>
      <w:bookmarkEnd w:id="818"/>
      <w:bookmarkEnd w:id="819"/>
    </w:p>
    <w:p w14:paraId="300BE8A7">
      <w:pPr>
        <w:snapToGrid w:val="0"/>
        <w:ind w:firstLine="560"/>
        <w:rPr>
          <w:szCs w:val="28"/>
        </w:rPr>
      </w:pPr>
      <w:r>
        <w:rPr>
          <w:szCs w:val="28"/>
        </w:rPr>
        <w:t>按照园区各行业规划建设的重点项目，对项目投产后产生的主要污染物进行了测算，园区近、远期规划产业主要污染物排放情况与现有污染物排放对比，排放增减量见表8.1—1。</w:t>
      </w:r>
    </w:p>
    <w:p w14:paraId="15D848FF">
      <w:pPr>
        <w:pStyle w:val="264"/>
        <w:spacing w:line="240" w:lineRule="auto"/>
      </w:pPr>
      <w:r>
        <w:t>表8.1-1园区近、远期规划产业主要污染物排放情况一览表</w:t>
      </w:r>
    </w:p>
    <w:tbl>
      <w:tblPr>
        <w:tblStyle w:val="65"/>
        <w:tblW w:w="5000" w:type="pct"/>
        <w:tblInd w:w="0" w:type="dxa"/>
        <w:tblLayout w:type="autofit"/>
        <w:tblCellMar>
          <w:top w:w="0" w:type="dxa"/>
          <w:left w:w="108" w:type="dxa"/>
          <w:bottom w:w="0" w:type="dxa"/>
          <w:right w:w="108" w:type="dxa"/>
        </w:tblCellMar>
      </w:tblPr>
      <w:tblGrid>
        <w:gridCol w:w="1419"/>
        <w:gridCol w:w="1422"/>
        <w:gridCol w:w="1420"/>
        <w:gridCol w:w="1422"/>
        <w:gridCol w:w="1420"/>
        <w:gridCol w:w="1420"/>
      </w:tblGrid>
      <w:tr w14:paraId="30CE98C1">
        <w:tblPrEx>
          <w:tblCellMar>
            <w:top w:w="0" w:type="dxa"/>
            <w:left w:w="108" w:type="dxa"/>
            <w:bottom w:w="0" w:type="dxa"/>
            <w:right w:w="108" w:type="dxa"/>
          </w:tblCellMar>
        </w:tblPrEx>
        <w:trPr>
          <w:trHeight w:val="340" w:hRule="atLeast"/>
        </w:trPr>
        <w:tc>
          <w:tcPr>
            <w:tcW w:w="833" w:type="pct"/>
            <w:tcBorders>
              <w:top w:val="single" w:color="auto" w:sz="4" w:space="0"/>
              <w:left w:val="single" w:color="auto" w:sz="4" w:space="0"/>
              <w:bottom w:val="single" w:color="auto" w:sz="4" w:space="0"/>
              <w:right w:val="single" w:color="auto" w:sz="4" w:space="0"/>
            </w:tcBorders>
            <w:vAlign w:val="center"/>
          </w:tcPr>
          <w:p w14:paraId="11CE42F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污染物名称</w:t>
            </w:r>
          </w:p>
        </w:tc>
        <w:tc>
          <w:tcPr>
            <w:tcW w:w="834" w:type="pct"/>
            <w:tcBorders>
              <w:top w:val="single" w:color="auto" w:sz="4" w:space="0"/>
              <w:left w:val="nil"/>
              <w:bottom w:val="single" w:color="auto" w:sz="4" w:space="0"/>
              <w:right w:val="single" w:color="auto" w:sz="4" w:space="0"/>
            </w:tcBorders>
            <w:vAlign w:val="center"/>
          </w:tcPr>
          <w:p w14:paraId="5C62B37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现状排放量（</w:t>
            </w:r>
            <w:r>
              <w:t>t/a</w:t>
            </w:r>
            <w:r>
              <w:rPr>
                <w:color w:val="000000" w:themeColor="text1"/>
                <w:kern w:val="0"/>
                <w:sz w:val="21"/>
                <w:szCs w:val="21"/>
                <w14:textFill>
                  <w14:solidFill>
                    <w14:schemeClr w14:val="tx1"/>
                  </w14:solidFill>
                </w14:textFill>
              </w:rPr>
              <w:t>）</w:t>
            </w:r>
          </w:p>
        </w:tc>
        <w:tc>
          <w:tcPr>
            <w:tcW w:w="833" w:type="pct"/>
            <w:tcBorders>
              <w:top w:val="single" w:color="auto" w:sz="4" w:space="0"/>
              <w:left w:val="nil"/>
              <w:bottom w:val="single" w:color="auto" w:sz="4" w:space="0"/>
              <w:right w:val="single" w:color="auto" w:sz="4" w:space="0"/>
            </w:tcBorders>
            <w:vAlign w:val="center"/>
          </w:tcPr>
          <w:p w14:paraId="35899A8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园区近期新增排放量（</w:t>
            </w:r>
            <w:r>
              <w:t>t/a</w:t>
            </w:r>
            <w:r>
              <w:rPr>
                <w:color w:val="000000" w:themeColor="text1"/>
                <w:kern w:val="0"/>
                <w:sz w:val="21"/>
                <w:szCs w:val="21"/>
                <w14:textFill>
                  <w14:solidFill>
                    <w14:schemeClr w14:val="tx1"/>
                  </w14:solidFill>
                </w14:textFill>
              </w:rPr>
              <w:t>）</w:t>
            </w:r>
          </w:p>
        </w:tc>
        <w:tc>
          <w:tcPr>
            <w:tcW w:w="834" w:type="pct"/>
            <w:tcBorders>
              <w:top w:val="single" w:color="auto" w:sz="4" w:space="0"/>
              <w:left w:val="nil"/>
              <w:bottom w:val="single" w:color="auto" w:sz="4" w:space="0"/>
              <w:right w:val="single" w:color="auto" w:sz="4" w:space="0"/>
            </w:tcBorders>
            <w:vAlign w:val="center"/>
          </w:tcPr>
          <w:p w14:paraId="0B3A30B8">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2030年末排放量（</w:t>
            </w:r>
            <w:r>
              <w:t>t/a</w:t>
            </w:r>
            <w:r>
              <w:rPr>
                <w:color w:val="000000" w:themeColor="text1"/>
                <w:kern w:val="0"/>
                <w:sz w:val="21"/>
                <w:szCs w:val="21"/>
                <w14:textFill>
                  <w14:solidFill>
                    <w14:schemeClr w14:val="tx1"/>
                  </w14:solidFill>
                </w14:textFill>
              </w:rPr>
              <w:t>）</w:t>
            </w:r>
          </w:p>
        </w:tc>
        <w:tc>
          <w:tcPr>
            <w:tcW w:w="833" w:type="pct"/>
            <w:tcBorders>
              <w:top w:val="single" w:color="auto" w:sz="4" w:space="0"/>
              <w:left w:val="nil"/>
              <w:bottom w:val="single" w:color="auto" w:sz="4" w:space="0"/>
              <w:right w:val="single" w:color="auto" w:sz="4" w:space="0"/>
            </w:tcBorders>
            <w:vAlign w:val="center"/>
          </w:tcPr>
          <w:p w14:paraId="13A5734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园区远期新增排放量（</w:t>
            </w:r>
            <w:r>
              <w:t>t/a</w:t>
            </w:r>
            <w:r>
              <w:rPr>
                <w:color w:val="000000" w:themeColor="text1"/>
                <w:kern w:val="0"/>
                <w:sz w:val="21"/>
                <w:szCs w:val="21"/>
                <w14:textFill>
                  <w14:solidFill>
                    <w14:schemeClr w14:val="tx1"/>
                  </w14:solidFill>
                </w14:textFill>
              </w:rPr>
              <w:t>）</w:t>
            </w:r>
          </w:p>
        </w:tc>
        <w:tc>
          <w:tcPr>
            <w:tcW w:w="833" w:type="pct"/>
            <w:tcBorders>
              <w:top w:val="single" w:color="auto" w:sz="4" w:space="0"/>
              <w:left w:val="nil"/>
              <w:bottom w:val="single" w:color="auto" w:sz="4" w:space="0"/>
              <w:right w:val="single" w:color="auto" w:sz="4" w:space="0"/>
            </w:tcBorders>
            <w:vAlign w:val="center"/>
          </w:tcPr>
          <w:p w14:paraId="6ADE9A93">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2035年末排放量（</w:t>
            </w:r>
            <w:r>
              <w:t>t/a</w:t>
            </w:r>
            <w:r>
              <w:rPr>
                <w:color w:val="000000" w:themeColor="text1"/>
                <w:kern w:val="0"/>
                <w:sz w:val="21"/>
                <w:szCs w:val="21"/>
                <w14:textFill>
                  <w14:solidFill>
                    <w14:schemeClr w14:val="tx1"/>
                  </w14:solidFill>
                </w14:textFill>
              </w:rPr>
              <w:t>）</w:t>
            </w:r>
          </w:p>
        </w:tc>
      </w:tr>
      <w:tr w14:paraId="2E4F1A1A">
        <w:tblPrEx>
          <w:tblCellMar>
            <w:top w:w="0" w:type="dxa"/>
            <w:left w:w="108" w:type="dxa"/>
            <w:bottom w:w="0" w:type="dxa"/>
            <w:right w:w="108" w:type="dxa"/>
          </w:tblCellMar>
        </w:tblPrEx>
        <w:trPr>
          <w:trHeight w:val="340" w:hRule="atLeast"/>
        </w:trPr>
        <w:tc>
          <w:tcPr>
            <w:tcW w:w="833" w:type="pct"/>
            <w:tcBorders>
              <w:top w:val="nil"/>
              <w:left w:val="single" w:color="auto" w:sz="4" w:space="0"/>
              <w:bottom w:val="single" w:color="auto" w:sz="4" w:space="0"/>
              <w:right w:val="single" w:color="auto" w:sz="4" w:space="0"/>
            </w:tcBorders>
            <w:vAlign w:val="center"/>
          </w:tcPr>
          <w:p w14:paraId="2D729521">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颗粒物</w:t>
            </w:r>
          </w:p>
        </w:tc>
        <w:tc>
          <w:tcPr>
            <w:tcW w:w="834" w:type="pct"/>
            <w:tcBorders>
              <w:top w:val="nil"/>
              <w:left w:val="nil"/>
              <w:bottom w:val="single" w:color="auto" w:sz="4" w:space="0"/>
              <w:right w:val="single" w:color="auto" w:sz="4" w:space="0"/>
            </w:tcBorders>
            <w:vAlign w:val="center"/>
          </w:tcPr>
          <w:p w14:paraId="15DE3A9B">
            <w:pPr>
              <w:widowControl/>
              <w:ind w:firstLine="0" w:firstLineChars="0"/>
              <w:jc w:val="center"/>
              <w:textAlignment w:val="center"/>
              <w:rPr>
                <w:bCs w:val="0"/>
                <w:color w:val="000000"/>
                <w:sz w:val="21"/>
                <w:szCs w:val="21"/>
              </w:rPr>
            </w:pPr>
            <w:r>
              <w:rPr>
                <w:color w:val="000000"/>
                <w:kern w:val="0"/>
                <w:sz w:val="21"/>
              </w:rPr>
              <w:t xml:space="preserve">92.36 </w:t>
            </w:r>
          </w:p>
        </w:tc>
        <w:tc>
          <w:tcPr>
            <w:tcW w:w="833" w:type="pct"/>
            <w:tcBorders>
              <w:top w:val="nil"/>
              <w:left w:val="nil"/>
              <w:bottom w:val="single" w:color="auto" w:sz="4" w:space="0"/>
              <w:right w:val="single" w:color="auto" w:sz="4" w:space="0"/>
            </w:tcBorders>
            <w:vAlign w:val="center"/>
          </w:tcPr>
          <w:p w14:paraId="755D3321">
            <w:pPr>
              <w:widowControl/>
              <w:ind w:firstLine="0" w:firstLineChars="0"/>
              <w:jc w:val="center"/>
              <w:textAlignment w:val="center"/>
              <w:rPr>
                <w:color w:val="000000"/>
                <w:kern w:val="0"/>
                <w:sz w:val="21"/>
              </w:rPr>
            </w:pPr>
            <w:r>
              <w:rPr>
                <w:color w:val="000000"/>
                <w:kern w:val="0"/>
                <w:sz w:val="21"/>
              </w:rPr>
              <w:t xml:space="preserve">247.38 </w:t>
            </w:r>
          </w:p>
        </w:tc>
        <w:tc>
          <w:tcPr>
            <w:tcW w:w="834" w:type="pct"/>
            <w:tcBorders>
              <w:top w:val="nil"/>
              <w:left w:val="nil"/>
              <w:bottom w:val="single" w:color="auto" w:sz="4" w:space="0"/>
              <w:right w:val="single" w:color="auto" w:sz="4" w:space="0"/>
            </w:tcBorders>
            <w:vAlign w:val="center"/>
          </w:tcPr>
          <w:p w14:paraId="52C1773B">
            <w:pPr>
              <w:widowControl/>
              <w:ind w:firstLine="0" w:firstLineChars="0"/>
              <w:jc w:val="center"/>
              <w:textAlignment w:val="center"/>
              <w:rPr>
                <w:color w:val="000000"/>
                <w:kern w:val="0"/>
                <w:sz w:val="21"/>
              </w:rPr>
            </w:pPr>
            <w:r>
              <w:rPr>
                <w:color w:val="000000"/>
                <w:kern w:val="0"/>
                <w:sz w:val="21"/>
              </w:rPr>
              <w:t xml:space="preserve">339.73 </w:t>
            </w:r>
          </w:p>
        </w:tc>
        <w:tc>
          <w:tcPr>
            <w:tcW w:w="833" w:type="pct"/>
            <w:tcBorders>
              <w:top w:val="nil"/>
              <w:left w:val="nil"/>
              <w:bottom w:val="single" w:color="auto" w:sz="4" w:space="0"/>
              <w:right w:val="single" w:color="auto" w:sz="4" w:space="0"/>
            </w:tcBorders>
            <w:vAlign w:val="center"/>
          </w:tcPr>
          <w:p w14:paraId="3E8380E0">
            <w:pPr>
              <w:widowControl/>
              <w:ind w:firstLine="0" w:firstLineChars="0"/>
              <w:jc w:val="center"/>
              <w:textAlignment w:val="center"/>
              <w:rPr>
                <w:color w:val="000000"/>
                <w:kern w:val="0"/>
                <w:sz w:val="21"/>
              </w:rPr>
            </w:pPr>
            <w:r>
              <w:rPr>
                <w:color w:val="000000"/>
                <w:kern w:val="0"/>
                <w:sz w:val="21"/>
              </w:rPr>
              <w:t xml:space="preserve">100.04 </w:t>
            </w:r>
          </w:p>
        </w:tc>
        <w:tc>
          <w:tcPr>
            <w:tcW w:w="833" w:type="pct"/>
            <w:tcBorders>
              <w:top w:val="nil"/>
              <w:left w:val="nil"/>
              <w:bottom w:val="single" w:color="auto" w:sz="4" w:space="0"/>
              <w:right w:val="single" w:color="auto" w:sz="4" w:space="0"/>
            </w:tcBorders>
            <w:vAlign w:val="center"/>
          </w:tcPr>
          <w:p w14:paraId="704B5533">
            <w:pPr>
              <w:widowControl/>
              <w:ind w:firstLine="0" w:firstLineChars="0"/>
              <w:jc w:val="center"/>
              <w:textAlignment w:val="center"/>
              <w:rPr>
                <w:color w:val="000000"/>
                <w:sz w:val="21"/>
              </w:rPr>
            </w:pPr>
            <w:r>
              <w:rPr>
                <w:color w:val="000000"/>
                <w:kern w:val="0"/>
                <w:sz w:val="21"/>
              </w:rPr>
              <w:t xml:space="preserve">439.77 </w:t>
            </w:r>
          </w:p>
        </w:tc>
      </w:tr>
      <w:tr w14:paraId="37F5FCF9">
        <w:tblPrEx>
          <w:tblCellMar>
            <w:top w:w="0" w:type="dxa"/>
            <w:left w:w="108" w:type="dxa"/>
            <w:bottom w:w="0" w:type="dxa"/>
            <w:right w:w="108" w:type="dxa"/>
          </w:tblCellMar>
        </w:tblPrEx>
        <w:trPr>
          <w:trHeight w:val="340" w:hRule="atLeast"/>
        </w:trPr>
        <w:tc>
          <w:tcPr>
            <w:tcW w:w="833" w:type="pct"/>
            <w:tcBorders>
              <w:top w:val="nil"/>
              <w:left w:val="single" w:color="auto" w:sz="4" w:space="0"/>
              <w:bottom w:val="single" w:color="auto" w:sz="4" w:space="0"/>
              <w:right w:val="single" w:color="auto" w:sz="4" w:space="0"/>
            </w:tcBorders>
            <w:vAlign w:val="center"/>
          </w:tcPr>
          <w:p w14:paraId="674A5092">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SO</w:t>
            </w:r>
            <w:r>
              <w:rPr>
                <w:color w:val="000000" w:themeColor="text1"/>
                <w:kern w:val="0"/>
                <w:sz w:val="21"/>
                <w:szCs w:val="21"/>
                <w:vertAlign w:val="subscript"/>
                <w14:textFill>
                  <w14:solidFill>
                    <w14:schemeClr w14:val="tx1"/>
                  </w14:solidFill>
                </w14:textFill>
              </w:rPr>
              <w:t>2</w:t>
            </w:r>
          </w:p>
        </w:tc>
        <w:tc>
          <w:tcPr>
            <w:tcW w:w="834" w:type="pct"/>
            <w:tcBorders>
              <w:top w:val="nil"/>
              <w:left w:val="nil"/>
              <w:bottom w:val="single" w:color="auto" w:sz="4" w:space="0"/>
              <w:right w:val="single" w:color="auto" w:sz="4" w:space="0"/>
            </w:tcBorders>
            <w:vAlign w:val="center"/>
          </w:tcPr>
          <w:p w14:paraId="4E823D94">
            <w:pPr>
              <w:widowControl/>
              <w:ind w:firstLine="0" w:firstLineChars="0"/>
              <w:jc w:val="center"/>
              <w:textAlignment w:val="center"/>
              <w:rPr>
                <w:color w:val="000000"/>
                <w:sz w:val="21"/>
              </w:rPr>
            </w:pPr>
            <w:r>
              <w:rPr>
                <w:color w:val="000000"/>
                <w:kern w:val="0"/>
                <w:sz w:val="21"/>
              </w:rPr>
              <w:t xml:space="preserve">13.44 </w:t>
            </w:r>
          </w:p>
        </w:tc>
        <w:tc>
          <w:tcPr>
            <w:tcW w:w="833" w:type="pct"/>
            <w:tcBorders>
              <w:top w:val="nil"/>
              <w:left w:val="nil"/>
              <w:bottom w:val="single" w:color="auto" w:sz="4" w:space="0"/>
              <w:right w:val="single" w:color="auto" w:sz="4" w:space="0"/>
            </w:tcBorders>
            <w:vAlign w:val="center"/>
          </w:tcPr>
          <w:p w14:paraId="13B290BB">
            <w:pPr>
              <w:widowControl/>
              <w:ind w:firstLine="0" w:firstLineChars="0"/>
              <w:jc w:val="center"/>
              <w:textAlignment w:val="center"/>
              <w:rPr>
                <w:color w:val="000000"/>
                <w:kern w:val="0"/>
                <w:sz w:val="21"/>
              </w:rPr>
            </w:pPr>
            <w:r>
              <w:rPr>
                <w:color w:val="000000"/>
                <w:kern w:val="0"/>
                <w:sz w:val="21"/>
              </w:rPr>
              <w:t xml:space="preserve">29.37 </w:t>
            </w:r>
          </w:p>
        </w:tc>
        <w:tc>
          <w:tcPr>
            <w:tcW w:w="834" w:type="pct"/>
            <w:tcBorders>
              <w:top w:val="nil"/>
              <w:left w:val="nil"/>
              <w:bottom w:val="single" w:color="auto" w:sz="4" w:space="0"/>
              <w:right w:val="single" w:color="auto" w:sz="4" w:space="0"/>
            </w:tcBorders>
            <w:vAlign w:val="center"/>
          </w:tcPr>
          <w:p w14:paraId="5ACB86E7">
            <w:pPr>
              <w:widowControl/>
              <w:ind w:firstLine="0" w:firstLineChars="0"/>
              <w:jc w:val="center"/>
              <w:textAlignment w:val="center"/>
              <w:rPr>
                <w:color w:val="000000"/>
                <w:kern w:val="0"/>
                <w:sz w:val="21"/>
              </w:rPr>
            </w:pPr>
            <w:r>
              <w:rPr>
                <w:color w:val="000000"/>
                <w:kern w:val="0"/>
                <w:sz w:val="21"/>
              </w:rPr>
              <w:t xml:space="preserve">42.81 </w:t>
            </w:r>
          </w:p>
        </w:tc>
        <w:tc>
          <w:tcPr>
            <w:tcW w:w="833" w:type="pct"/>
            <w:tcBorders>
              <w:top w:val="nil"/>
              <w:left w:val="nil"/>
              <w:bottom w:val="single" w:color="auto" w:sz="4" w:space="0"/>
              <w:right w:val="single" w:color="auto" w:sz="4" w:space="0"/>
            </w:tcBorders>
            <w:vAlign w:val="center"/>
          </w:tcPr>
          <w:p w14:paraId="5C71485B">
            <w:pPr>
              <w:widowControl/>
              <w:ind w:firstLine="0" w:firstLineChars="0"/>
              <w:jc w:val="center"/>
              <w:textAlignment w:val="center"/>
              <w:rPr>
                <w:color w:val="000000"/>
                <w:kern w:val="0"/>
                <w:sz w:val="21"/>
              </w:rPr>
            </w:pPr>
            <w:r>
              <w:rPr>
                <w:color w:val="000000"/>
                <w:kern w:val="0"/>
                <w:sz w:val="21"/>
              </w:rPr>
              <w:t xml:space="preserve">55.74 </w:t>
            </w:r>
          </w:p>
        </w:tc>
        <w:tc>
          <w:tcPr>
            <w:tcW w:w="833" w:type="pct"/>
            <w:tcBorders>
              <w:top w:val="nil"/>
              <w:left w:val="nil"/>
              <w:bottom w:val="single" w:color="auto" w:sz="4" w:space="0"/>
              <w:right w:val="single" w:color="auto" w:sz="4" w:space="0"/>
            </w:tcBorders>
            <w:vAlign w:val="center"/>
          </w:tcPr>
          <w:p w14:paraId="16C6423E">
            <w:pPr>
              <w:widowControl/>
              <w:ind w:firstLine="0" w:firstLineChars="0"/>
              <w:jc w:val="center"/>
              <w:textAlignment w:val="center"/>
              <w:rPr>
                <w:color w:val="000000"/>
                <w:sz w:val="21"/>
              </w:rPr>
            </w:pPr>
            <w:r>
              <w:rPr>
                <w:color w:val="000000"/>
                <w:kern w:val="0"/>
                <w:sz w:val="21"/>
              </w:rPr>
              <w:t xml:space="preserve">98.54 </w:t>
            </w:r>
          </w:p>
        </w:tc>
      </w:tr>
      <w:tr w14:paraId="5121CD3E">
        <w:tblPrEx>
          <w:tblCellMar>
            <w:top w:w="0" w:type="dxa"/>
            <w:left w:w="108" w:type="dxa"/>
            <w:bottom w:w="0" w:type="dxa"/>
            <w:right w:w="108" w:type="dxa"/>
          </w:tblCellMar>
        </w:tblPrEx>
        <w:trPr>
          <w:trHeight w:val="340" w:hRule="atLeast"/>
        </w:trPr>
        <w:tc>
          <w:tcPr>
            <w:tcW w:w="833" w:type="pct"/>
            <w:tcBorders>
              <w:top w:val="nil"/>
              <w:left w:val="single" w:color="auto" w:sz="4" w:space="0"/>
              <w:bottom w:val="single" w:color="auto" w:sz="4" w:space="0"/>
              <w:right w:val="single" w:color="auto" w:sz="4" w:space="0"/>
            </w:tcBorders>
            <w:vAlign w:val="center"/>
          </w:tcPr>
          <w:p w14:paraId="2605CD5C">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NO</w:t>
            </w:r>
            <w:r>
              <w:rPr>
                <w:color w:val="000000" w:themeColor="text1"/>
                <w:kern w:val="0"/>
                <w:sz w:val="21"/>
                <w:szCs w:val="21"/>
                <w:vertAlign w:val="subscript"/>
                <w14:textFill>
                  <w14:solidFill>
                    <w14:schemeClr w14:val="tx1"/>
                  </w14:solidFill>
                </w14:textFill>
              </w:rPr>
              <w:t>x</w:t>
            </w:r>
          </w:p>
        </w:tc>
        <w:tc>
          <w:tcPr>
            <w:tcW w:w="834" w:type="pct"/>
            <w:tcBorders>
              <w:top w:val="nil"/>
              <w:left w:val="nil"/>
              <w:bottom w:val="single" w:color="auto" w:sz="4" w:space="0"/>
              <w:right w:val="single" w:color="auto" w:sz="4" w:space="0"/>
            </w:tcBorders>
            <w:vAlign w:val="center"/>
          </w:tcPr>
          <w:p w14:paraId="6E57D6AC">
            <w:pPr>
              <w:widowControl/>
              <w:ind w:firstLine="0" w:firstLineChars="0"/>
              <w:jc w:val="center"/>
              <w:textAlignment w:val="center"/>
              <w:rPr>
                <w:color w:val="000000"/>
                <w:sz w:val="21"/>
              </w:rPr>
            </w:pPr>
            <w:r>
              <w:rPr>
                <w:color w:val="000000"/>
                <w:kern w:val="0"/>
                <w:sz w:val="21"/>
              </w:rPr>
              <w:t xml:space="preserve">182.86 </w:t>
            </w:r>
          </w:p>
        </w:tc>
        <w:tc>
          <w:tcPr>
            <w:tcW w:w="833" w:type="pct"/>
            <w:tcBorders>
              <w:top w:val="nil"/>
              <w:left w:val="nil"/>
              <w:bottom w:val="single" w:color="auto" w:sz="4" w:space="0"/>
              <w:right w:val="single" w:color="auto" w:sz="4" w:space="0"/>
            </w:tcBorders>
            <w:vAlign w:val="center"/>
          </w:tcPr>
          <w:p w14:paraId="3828CA0E">
            <w:pPr>
              <w:widowControl/>
              <w:ind w:firstLine="0" w:firstLineChars="0"/>
              <w:jc w:val="center"/>
              <w:textAlignment w:val="center"/>
              <w:rPr>
                <w:color w:val="000000"/>
                <w:kern w:val="0"/>
                <w:sz w:val="21"/>
              </w:rPr>
            </w:pPr>
            <w:r>
              <w:rPr>
                <w:color w:val="000000"/>
                <w:kern w:val="0"/>
                <w:sz w:val="21"/>
              </w:rPr>
              <w:t xml:space="preserve">218.13 </w:t>
            </w:r>
          </w:p>
        </w:tc>
        <w:tc>
          <w:tcPr>
            <w:tcW w:w="834" w:type="pct"/>
            <w:tcBorders>
              <w:top w:val="nil"/>
              <w:left w:val="nil"/>
              <w:bottom w:val="single" w:color="auto" w:sz="4" w:space="0"/>
              <w:right w:val="single" w:color="auto" w:sz="4" w:space="0"/>
            </w:tcBorders>
            <w:vAlign w:val="center"/>
          </w:tcPr>
          <w:p w14:paraId="600657C7">
            <w:pPr>
              <w:widowControl/>
              <w:ind w:firstLine="0" w:firstLineChars="0"/>
              <w:jc w:val="center"/>
              <w:textAlignment w:val="center"/>
              <w:rPr>
                <w:color w:val="000000"/>
                <w:kern w:val="0"/>
                <w:sz w:val="21"/>
              </w:rPr>
            </w:pPr>
            <w:r>
              <w:rPr>
                <w:color w:val="000000"/>
                <w:kern w:val="0"/>
                <w:sz w:val="21"/>
              </w:rPr>
              <w:t xml:space="preserve">400.99 </w:t>
            </w:r>
          </w:p>
        </w:tc>
        <w:tc>
          <w:tcPr>
            <w:tcW w:w="833" w:type="pct"/>
            <w:tcBorders>
              <w:top w:val="nil"/>
              <w:left w:val="nil"/>
              <w:bottom w:val="single" w:color="auto" w:sz="4" w:space="0"/>
              <w:right w:val="single" w:color="auto" w:sz="4" w:space="0"/>
            </w:tcBorders>
            <w:vAlign w:val="center"/>
          </w:tcPr>
          <w:p w14:paraId="4C040C52">
            <w:pPr>
              <w:widowControl/>
              <w:ind w:firstLine="0" w:firstLineChars="0"/>
              <w:jc w:val="center"/>
              <w:textAlignment w:val="center"/>
              <w:rPr>
                <w:color w:val="000000"/>
                <w:kern w:val="0"/>
                <w:sz w:val="21"/>
              </w:rPr>
            </w:pPr>
            <w:r>
              <w:rPr>
                <w:color w:val="000000"/>
                <w:kern w:val="0"/>
                <w:sz w:val="21"/>
              </w:rPr>
              <w:t xml:space="preserve">113.84 </w:t>
            </w:r>
          </w:p>
        </w:tc>
        <w:tc>
          <w:tcPr>
            <w:tcW w:w="833" w:type="pct"/>
            <w:tcBorders>
              <w:top w:val="nil"/>
              <w:left w:val="nil"/>
              <w:bottom w:val="single" w:color="auto" w:sz="4" w:space="0"/>
              <w:right w:val="single" w:color="auto" w:sz="4" w:space="0"/>
            </w:tcBorders>
            <w:vAlign w:val="center"/>
          </w:tcPr>
          <w:p w14:paraId="7ED699AD">
            <w:pPr>
              <w:widowControl/>
              <w:ind w:firstLine="0" w:firstLineChars="0"/>
              <w:jc w:val="center"/>
              <w:textAlignment w:val="center"/>
              <w:rPr>
                <w:color w:val="000000"/>
                <w:sz w:val="21"/>
              </w:rPr>
            </w:pPr>
            <w:r>
              <w:rPr>
                <w:color w:val="000000"/>
                <w:kern w:val="0"/>
                <w:sz w:val="21"/>
              </w:rPr>
              <w:t xml:space="preserve">514.83 </w:t>
            </w:r>
          </w:p>
        </w:tc>
      </w:tr>
      <w:tr w14:paraId="0C8B371A">
        <w:tblPrEx>
          <w:tblCellMar>
            <w:top w:w="0" w:type="dxa"/>
            <w:left w:w="108" w:type="dxa"/>
            <w:bottom w:w="0" w:type="dxa"/>
            <w:right w:w="108" w:type="dxa"/>
          </w:tblCellMar>
        </w:tblPrEx>
        <w:trPr>
          <w:trHeight w:val="340" w:hRule="atLeast"/>
        </w:trPr>
        <w:tc>
          <w:tcPr>
            <w:tcW w:w="833" w:type="pct"/>
            <w:tcBorders>
              <w:top w:val="nil"/>
              <w:left w:val="single" w:color="auto" w:sz="4" w:space="0"/>
              <w:bottom w:val="single" w:color="auto" w:sz="4" w:space="0"/>
              <w:right w:val="single" w:color="auto" w:sz="4" w:space="0"/>
            </w:tcBorders>
            <w:vAlign w:val="center"/>
          </w:tcPr>
          <w:p w14:paraId="72E1CA37">
            <w:pPr>
              <w:widowControl/>
              <w:spacing w:line="240" w:lineRule="auto"/>
              <w:ind w:firstLine="0" w:firstLineChars="0"/>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挥发性有机物</w:t>
            </w:r>
          </w:p>
        </w:tc>
        <w:tc>
          <w:tcPr>
            <w:tcW w:w="834" w:type="pct"/>
            <w:tcBorders>
              <w:top w:val="nil"/>
              <w:left w:val="nil"/>
              <w:bottom w:val="single" w:color="auto" w:sz="4" w:space="0"/>
              <w:right w:val="single" w:color="auto" w:sz="4" w:space="0"/>
            </w:tcBorders>
            <w:vAlign w:val="center"/>
          </w:tcPr>
          <w:p w14:paraId="0DD6E8ED">
            <w:pPr>
              <w:widowControl/>
              <w:ind w:firstLine="0" w:firstLineChars="0"/>
              <w:jc w:val="center"/>
              <w:textAlignment w:val="center"/>
              <w:rPr>
                <w:color w:val="000000"/>
                <w:sz w:val="21"/>
              </w:rPr>
            </w:pPr>
            <w:r>
              <w:rPr>
                <w:color w:val="000000"/>
                <w:kern w:val="0"/>
                <w:sz w:val="21"/>
              </w:rPr>
              <w:t xml:space="preserve">119.47 </w:t>
            </w:r>
          </w:p>
        </w:tc>
        <w:tc>
          <w:tcPr>
            <w:tcW w:w="833" w:type="pct"/>
            <w:tcBorders>
              <w:top w:val="nil"/>
              <w:left w:val="nil"/>
              <w:bottom w:val="single" w:color="auto" w:sz="4" w:space="0"/>
              <w:right w:val="single" w:color="auto" w:sz="4" w:space="0"/>
            </w:tcBorders>
            <w:vAlign w:val="center"/>
          </w:tcPr>
          <w:p w14:paraId="7E57932B">
            <w:pPr>
              <w:widowControl/>
              <w:ind w:firstLine="0" w:firstLineChars="0"/>
              <w:jc w:val="center"/>
              <w:textAlignment w:val="center"/>
              <w:rPr>
                <w:color w:val="000000"/>
                <w:kern w:val="0"/>
                <w:sz w:val="21"/>
              </w:rPr>
            </w:pPr>
            <w:r>
              <w:rPr>
                <w:color w:val="000000"/>
                <w:kern w:val="0"/>
                <w:sz w:val="21"/>
              </w:rPr>
              <w:t xml:space="preserve">63.60 </w:t>
            </w:r>
          </w:p>
        </w:tc>
        <w:tc>
          <w:tcPr>
            <w:tcW w:w="834" w:type="pct"/>
            <w:tcBorders>
              <w:top w:val="nil"/>
              <w:left w:val="nil"/>
              <w:bottom w:val="single" w:color="auto" w:sz="4" w:space="0"/>
              <w:right w:val="single" w:color="auto" w:sz="4" w:space="0"/>
            </w:tcBorders>
            <w:vAlign w:val="center"/>
          </w:tcPr>
          <w:p w14:paraId="1DC39509">
            <w:pPr>
              <w:widowControl/>
              <w:ind w:firstLine="0" w:firstLineChars="0"/>
              <w:jc w:val="center"/>
              <w:textAlignment w:val="center"/>
              <w:rPr>
                <w:color w:val="000000"/>
                <w:kern w:val="0"/>
                <w:sz w:val="21"/>
              </w:rPr>
            </w:pPr>
            <w:r>
              <w:rPr>
                <w:color w:val="000000"/>
                <w:kern w:val="0"/>
                <w:sz w:val="21"/>
              </w:rPr>
              <w:t xml:space="preserve">183.07 </w:t>
            </w:r>
          </w:p>
        </w:tc>
        <w:tc>
          <w:tcPr>
            <w:tcW w:w="833" w:type="pct"/>
            <w:tcBorders>
              <w:top w:val="nil"/>
              <w:left w:val="nil"/>
              <w:bottom w:val="single" w:color="auto" w:sz="4" w:space="0"/>
              <w:right w:val="single" w:color="auto" w:sz="4" w:space="0"/>
            </w:tcBorders>
            <w:vAlign w:val="center"/>
          </w:tcPr>
          <w:p w14:paraId="3E5C707B">
            <w:pPr>
              <w:widowControl/>
              <w:ind w:firstLine="0" w:firstLineChars="0"/>
              <w:jc w:val="center"/>
              <w:textAlignment w:val="center"/>
              <w:rPr>
                <w:color w:val="000000"/>
                <w:kern w:val="0"/>
                <w:sz w:val="21"/>
              </w:rPr>
            </w:pPr>
            <w:r>
              <w:rPr>
                <w:color w:val="000000"/>
                <w:kern w:val="0"/>
                <w:sz w:val="21"/>
              </w:rPr>
              <w:t xml:space="preserve">28.49 </w:t>
            </w:r>
          </w:p>
        </w:tc>
        <w:tc>
          <w:tcPr>
            <w:tcW w:w="833" w:type="pct"/>
            <w:tcBorders>
              <w:top w:val="nil"/>
              <w:left w:val="nil"/>
              <w:bottom w:val="single" w:color="auto" w:sz="4" w:space="0"/>
              <w:right w:val="single" w:color="auto" w:sz="4" w:space="0"/>
            </w:tcBorders>
            <w:vAlign w:val="center"/>
          </w:tcPr>
          <w:p w14:paraId="7560EA8C">
            <w:pPr>
              <w:widowControl/>
              <w:ind w:firstLine="0" w:firstLineChars="0"/>
              <w:jc w:val="center"/>
              <w:textAlignment w:val="center"/>
              <w:rPr>
                <w:color w:val="000000"/>
                <w:sz w:val="21"/>
              </w:rPr>
            </w:pPr>
            <w:r>
              <w:rPr>
                <w:color w:val="000000"/>
                <w:kern w:val="0"/>
                <w:sz w:val="21"/>
              </w:rPr>
              <w:t xml:space="preserve">211.56 </w:t>
            </w:r>
          </w:p>
        </w:tc>
      </w:tr>
      <w:bookmarkEnd w:id="811"/>
      <w:bookmarkEnd w:id="812"/>
      <w:bookmarkEnd w:id="813"/>
      <w:bookmarkEnd w:id="814"/>
    </w:tbl>
    <w:p w14:paraId="2ED8498F">
      <w:pPr>
        <w:pStyle w:val="97"/>
        <w:numPr>
          <w:ilvl w:val="1"/>
          <w:numId w:val="7"/>
        </w:numPr>
        <w:adjustRightInd w:val="0"/>
        <w:snapToGrid w:val="0"/>
        <w:spacing w:before="240" w:beforeLines="10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20" w:name="_Toc134813401"/>
      <w:bookmarkStart w:id="821" w:name="_Toc192675975"/>
      <w:bookmarkStart w:id="822" w:name="_Toc134813127"/>
      <w:bookmarkStart w:id="823" w:name="_Toc417157185"/>
      <w:bookmarkStart w:id="824" w:name="_Toc417156810"/>
      <w:bookmarkStart w:id="825" w:name="_Toc134813264"/>
      <w:bookmarkStart w:id="826" w:name="_Toc417157266"/>
      <w:bookmarkStart w:id="827" w:name="_Toc134812764"/>
      <w:bookmarkStart w:id="828" w:name="_Toc417156898"/>
      <w:r>
        <w:rPr>
          <w:rFonts w:ascii="Times New Roman" w:hAnsi="Times New Roman" w:eastAsia="黑体"/>
          <w:b/>
          <w:color w:val="000000" w:themeColor="text1"/>
          <w:sz w:val="30"/>
          <w:szCs w:val="30"/>
          <w14:textFill>
            <w14:solidFill>
              <w14:schemeClr w14:val="tx1"/>
            </w14:solidFill>
          </w14:textFill>
        </w:rPr>
        <w:t>节能环保思路及目标</w:t>
      </w:r>
      <w:bookmarkEnd w:id="820"/>
      <w:bookmarkEnd w:id="821"/>
      <w:bookmarkEnd w:id="822"/>
      <w:bookmarkEnd w:id="823"/>
      <w:bookmarkEnd w:id="824"/>
      <w:bookmarkEnd w:id="825"/>
      <w:bookmarkEnd w:id="826"/>
      <w:bookmarkEnd w:id="827"/>
      <w:bookmarkEnd w:id="828"/>
    </w:p>
    <w:p w14:paraId="46CDF37F">
      <w:pPr>
        <w:snapToGrid w:val="0"/>
        <w:ind w:firstLine="560"/>
        <w:rPr>
          <w:szCs w:val="28"/>
        </w:rPr>
      </w:pPr>
      <w:r>
        <w:rPr>
          <w:szCs w:val="28"/>
        </w:rPr>
        <w:t>1、建设思路</w:t>
      </w:r>
    </w:p>
    <w:p w14:paraId="4BF6B664">
      <w:pPr>
        <w:snapToGrid w:val="0"/>
        <w:ind w:firstLine="560"/>
        <w:rPr>
          <w:szCs w:val="28"/>
        </w:rPr>
      </w:pPr>
      <w:r>
        <w:rPr>
          <w:szCs w:val="28"/>
        </w:rPr>
        <w:t>立足园区节能与环境保护实际需求，践行“两山”发展理论，以解决突出资源环境问题为导向，以提高节能环保供给水平为主线，以重大节能环保项目为支撑，聚焦节能生产、污染治理“二大重点”，加大节能环保技术、先进设备研发及集成应用，强化“三废一噪”污染治理，优化高效节能、循环利用、绿色发展等节能环保服务，推进节能环保大数据建设，全面提升园区节能环保水平，将园区建成为节能环保绿色示范基地。</w:t>
      </w:r>
    </w:p>
    <w:p w14:paraId="7C8DDA25">
      <w:pPr>
        <w:snapToGrid w:val="0"/>
        <w:ind w:firstLine="560"/>
        <w:rPr>
          <w:szCs w:val="28"/>
        </w:rPr>
      </w:pPr>
      <w:r>
        <w:rPr>
          <w:szCs w:val="28"/>
        </w:rPr>
        <w:t>2、发展目标</w:t>
      </w:r>
    </w:p>
    <w:p w14:paraId="645281E1">
      <w:pPr>
        <w:snapToGrid w:val="0"/>
        <w:ind w:firstLine="560"/>
        <w:rPr>
          <w:szCs w:val="28"/>
        </w:rPr>
      </w:pPr>
      <w:r>
        <w:rPr>
          <w:szCs w:val="28"/>
        </w:rPr>
        <w:t>到2030年，园区企业节能化水平显著提高，天气优良天数比例达到85%以上，COD、二氧化硫等主要污染物排放总量逐年下降，工业废气处理率、废水处理率、危险废物处理率、环境管理“三同时”执行率均实现100%，园区生态环境质量明显改善。到2035年，各项节能环保指标持续向好，固体废物综合利用率达到80%以上，规模以上工业企业重复用水率达到95%以上，建成节能环保绿色数据中心，培育节能环保标杆项目2-3个，创建为节能环保绿色示范基地。</w:t>
      </w:r>
    </w:p>
    <w:p w14:paraId="59EC5989">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29" w:name="_Toc417157186"/>
      <w:bookmarkStart w:id="830" w:name="_Toc134813265"/>
      <w:bookmarkStart w:id="831" w:name="_Toc134813402"/>
      <w:bookmarkStart w:id="832" w:name="_Toc417157267"/>
      <w:bookmarkStart w:id="833" w:name="_Toc192675976"/>
      <w:bookmarkStart w:id="834" w:name="_Toc417156899"/>
      <w:bookmarkStart w:id="835" w:name="_Toc134813128"/>
      <w:bookmarkStart w:id="836" w:name="_Toc134812765"/>
      <w:bookmarkStart w:id="837" w:name="_Toc417156811"/>
      <w:r>
        <w:rPr>
          <w:rFonts w:ascii="Times New Roman" w:hAnsi="Times New Roman" w:eastAsia="黑体"/>
          <w:b/>
          <w:color w:val="000000" w:themeColor="text1"/>
          <w:sz w:val="30"/>
          <w:szCs w:val="30"/>
          <w14:textFill>
            <w14:solidFill>
              <w14:schemeClr w14:val="tx1"/>
            </w14:solidFill>
          </w14:textFill>
        </w:rPr>
        <w:t>环境保护与生态建设工程</w:t>
      </w:r>
      <w:bookmarkEnd w:id="829"/>
      <w:bookmarkEnd w:id="830"/>
      <w:bookmarkEnd w:id="831"/>
      <w:bookmarkEnd w:id="832"/>
      <w:bookmarkEnd w:id="833"/>
      <w:bookmarkEnd w:id="834"/>
      <w:bookmarkEnd w:id="835"/>
      <w:bookmarkEnd w:id="836"/>
      <w:bookmarkEnd w:id="837"/>
    </w:p>
    <w:p w14:paraId="4D2C2F56">
      <w:pPr>
        <w:adjustRightInd w:val="0"/>
        <w:snapToGrid w:val="0"/>
        <w:spacing w:line="420" w:lineRule="auto"/>
        <w:ind w:firstLine="562"/>
        <w:jc w:val="left"/>
        <w:rPr>
          <w:b/>
          <w:bCs w:val="0"/>
          <w:color w:val="000000" w:themeColor="text1"/>
          <w:szCs w:val="28"/>
          <w14:textFill>
            <w14:solidFill>
              <w14:schemeClr w14:val="tx1"/>
            </w14:solidFill>
          </w14:textFill>
        </w:rPr>
      </w:pPr>
      <w:bookmarkStart w:id="838" w:name="_Toc387353826"/>
      <w:bookmarkStart w:id="839" w:name="_Toc337666727"/>
      <w:bookmarkStart w:id="840" w:name="_Toc337451200"/>
      <w:bookmarkStart w:id="841" w:name="_Toc337666234"/>
      <w:bookmarkStart w:id="842" w:name="_Toc339470919"/>
      <w:bookmarkStart w:id="843" w:name="_Toc337541200"/>
      <w:bookmarkStart w:id="844" w:name="_Toc337450726"/>
      <w:r>
        <w:rPr>
          <w:b/>
          <w:bCs w:val="0"/>
          <w:color w:val="000000" w:themeColor="text1"/>
          <w:szCs w:val="28"/>
          <w14:textFill>
            <w14:solidFill>
              <w14:schemeClr w14:val="tx1"/>
            </w14:solidFill>
          </w14:textFill>
        </w:rPr>
        <w:t>8.3.1 固体废弃物源头控制工程</w:t>
      </w:r>
    </w:p>
    <w:p w14:paraId="2EFF4CF7">
      <w:pPr>
        <w:snapToGrid w:val="0"/>
        <w:ind w:firstLine="560"/>
        <w:rPr>
          <w:szCs w:val="28"/>
        </w:rPr>
      </w:pPr>
      <w:r>
        <w:rPr>
          <w:szCs w:val="28"/>
        </w:rPr>
        <w:t>全面推进清洁生产，从源头上减少固体废物的产生，强化全过程治理的资源化、产业化，最大限度地减少末端处理处置。全面推进清洁生产审核，减少有毒有害原料的使用量，从源头上削减危险废物的产生，不能综合利用的危险废物依法送至有资质的处理处置部门进行处理。</w:t>
      </w:r>
    </w:p>
    <w:p w14:paraId="45ACA45E">
      <w:pPr>
        <w:adjustRightInd w:val="0"/>
        <w:snapToGrid w:val="0"/>
        <w:spacing w:line="420" w:lineRule="auto"/>
        <w:ind w:firstLine="562"/>
        <w:jc w:val="left"/>
        <w:rPr>
          <w:b/>
          <w:bCs w:val="0"/>
          <w:color w:val="000000" w:themeColor="text1"/>
          <w:szCs w:val="28"/>
          <w14:textFill>
            <w14:solidFill>
              <w14:schemeClr w14:val="tx1"/>
            </w14:solidFill>
          </w14:textFill>
        </w:rPr>
      </w:pPr>
      <w:r>
        <w:rPr>
          <w:b/>
          <w:bCs w:val="0"/>
          <w:color w:val="000000" w:themeColor="text1"/>
          <w:szCs w:val="28"/>
          <w14:textFill>
            <w14:solidFill>
              <w14:schemeClr w14:val="tx1"/>
            </w14:solidFill>
          </w14:textFill>
        </w:rPr>
        <w:t>8.3.2 工业园区绿化体系建设工程</w:t>
      </w:r>
    </w:p>
    <w:p w14:paraId="0F8A2AE9">
      <w:pPr>
        <w:snapToGrid w:val="0"/>
        <w:ind w:firstLine="560"/>
        <w:rPr>
          <w:szCs w:val="28"/>
        </w:rPr>
      </w:pPr>
      <w:r>
        <w:rPr>
          <w:szCs w:val="28"/>
        </w:rPr>
        <w:t>以荒漠化治理、园林绿化、园区美化为目标，针对工业园区土质特征，开展耐生物种筛选技术研究，筛选适合园区生长的物种，推广多种绿化模式，加快景观建设，均衡绿地系统布局。合理规划和建设街景绿地，形成点线面相结合的多层次、立体化绿化体系，为国内外工业园区绿化提供示范。同时依据工业园区绿化规划，加快园区园林绿化，对规划区域进行绿量补偿，保证建成区的生态系统功能稳定，最终取得经济、生态和社会效益。</w:t>
      </w:r>
    </w:p>
    <w:p w14:paraId="08E555EE">
      <w:pPr>
        <w:adjustRightInd w:val="0"/>
        <w:snapToGrid w:val="0"/>
        <w:spacing w:line="420" w:lineRule="auto"/>
        <w:ind w:firstLine="562"/>
        <w:jc w:val="left"/>
        <w:rPr>
          <w:b/>
          <w:bCs w:val="0"/>
          <w:color w:val="000000" w:themeColor="text1"/>
          <w:szCs w:val="28"/>
          <w14:textFill>
            <w14:solidFill>
              <w14:schemeClr w14:val="tx1"/>
            </w14:solidFill>
          </w14:textFill>
        </w:rPr>
      </w:pPr>
      <w:r>
        <w:rPr>
          <w:b/>
          <w:bCs w:val="0"/>
          <w:color w:val="000000" w:themeColor="text1"/>
          <w:szCs w:val="28"/>
          <w14:textFill>
            <w14:solidFill>
              <w14:schemeClr w14:val="tx1"/>
            </w14:solidFill>
          </w14:textFill>
        </w:rPr>
        <w:t>8.3.3环境监管体系建设工程</w:t>
      </w:r>
      <w:bookmarkEnd w:id="838"/>
      <w:bookmarkEnd w:id="839"/>
      <w:bookmarkEnd w:id="840"/>
      <w:bookmarkEnd w:id="841"/>
      <w:bookmarkEnd w:id="842"/>
      <w:bookmarkEnd w:id="843"/>
      <w:bookmarkEnd w:id="844"/>
    </w:p>
    <w:p w14:paraId="48B343B4">
      <w:pPr>
        <w:snapToGrid w:val="0"/>
        <w:ind w:firstLine="560"/>
        <w:rPr>
          <w:szCs w:val="28"/>
        </w:rPr>
      </w:pPr>
      <w:r>
        <w:rPr>
          <w:szCs w:val="28"/>
        </w:rPr>
        <w:t>建设多级环境监管体系，制定主要污染物监测计划，重点企业污染物全部实现在线监控；制定环境质量动态评估制度，及时发现和解决实际污染物防控和生态建设的薄弱环节，并采取相应对策；环保人才、宣教、信息、科技和基础调查等工程建设取得较大进展。</w:t>
      </w:r>
    </w:p>
    <w:p w14:paraId="32E941DF">
      <w:pPr>
        <w:adjustRightInd w:val="0"/>
        <w:snapToGrid w:val="0"/>
        <w:spacing w:line="420" w:lineRule="auto"/>
        <w:ind w:firstLine="562"/>
        <w:jc w:val="left"/>
        <w:rPr>
          <w:b/>
          <w:bCs w:val="0"/>
          <w:color w:val="000000" w:themeColor="text1"/>
          <w:szCs w:val="28"/>
          <w14:textFill>
            <w14:solidFill>
              <w14:schemeClr w14:val="tx1"/>
            </w14:solidFill>
          </w14:textFill>
        </w:rPr>
      </w:pPr>
      <w:bookmarkStart w:id="845" w:name="_Toc387353829"/>
      <w:bookmarkStart w:id="846" w:name="_Toc339470922"/>
      <w:bookmarkStart w:id="847" w:name="_Toc337666730"/>
      <w:bookmarkStart w:id="848" w:name="_Toc337666237"/>
      <w:bookmarkStart w:id="849" w:name="_Toc337541203"/>
      <w:r>
        <w:rPr>
          <w:b/>
          <w:bCs w:val="0"/>
          <w:color w:val="000000" w:themeColor="text1"/>
          <w:szCs w:val="28"/>
          <w14:textFill>
            <w14:solidFill>
              <w14:schemeClr w14:val="tx1"/>
            </w14:solidFill>
          </w14:textFill>
        </w:rPr>
        <w:t>8.3.4 清洁能源利用工程</w:t>
      </w:r>
      <w:bookmarkEnd w:id="845"/>
      <w:bookmarkEnd w:id="846"/>
      <w:bookmarkEnd w:id="847"/>
      <w:bookmarkEnd w:id="848"/>
      <w:bookmarkEnd w:id="849"/>
    </w:p>
    <w:p w14:paraId="0CB4E22B">
      <w:pPr>
        <w:snapToGrid w:val="0"/>
        <w:ind w:firstLine="560"/>
        <w:rPr>
          <w:szCs w:val="28"/>
        </w:rPr>
      </w:pPr>
      <w:r>
        <w:rPr>
          <w:szCs w:val="28"/>
        </w:rPr>
        <w:t>构建园区绿色照明体系，利用风能、太阳能路灯等绿色能源照明，加大对节能灯或智能化的太阳能发电灯的投入力度，以减少电力照明消耗；重点推广高效节能的金属卤化物灯、太阳能LED、风光互补LED等绿色照明产品。</w:t>
      </w:r>
    </w:p>
    <w:p w14:paraId="1E67F5A2">
      <w:pPr>
        <w:widowControl/>
        <w:spacing w:line="240" w:lineRule="auto"/>
        <w:ind w:firstLine="0" w:firstLineChars="0"/>
        <w:jc w:val="left"/>
        <w:rPr>
          <w:bCs w:val="0"/>
          <w:color w:val="000000" w:themeColor="text1"/>
          <w14:textFill>
            <w14:solidFill>
              <w14:schemeClr w14:val="tx1"/>
            </w14:solidFill>
          </w14:textFill>
        </w:rPr>
      </w:pPr>
      <w:r>
        <w:rPr>
          <w:color w:val="000000" w:themeColor="text1"/>
          <w14:textFill>
            <w14:solidFill>
              <w14:schemeClr w14:val="tx1"/>
            </w14:solidFill>
          </w14:textFill>
        </w:rPr>
        <w:br w:type="page"/>
      </w:r>
    </w:p>
    <w:p w14:paraId="5D2E3EFC">
      <w:pPr>
        <w:adjustRightInd w:val="0"/>
        <w:snapToGrid w:val="0"/>
        <w:ind w:firstLine="199" w:firstLineChars="55"/>
        <w:jc w:val="left"/>
        <w:outlineLvl w:val="0"/>
        <w:rPr>
          <w:rFonts w:eastAsia="黑体"/>
          <w:b/>
          <w:color w:val="000000" w:themeColor="text1"/>
          <w:sz w:val="36"/>
          <w:szCs w:val="36"/>
          <w14:textFill>
            <w14:solidFill>
              <w14:schemeClr w14:val="tx1"/>
            </w14:solidFill>
          </w14:textFill>
        </w:rPr>
      </w:pPr>
      <w:bookmarkStart w:id="850" w:name="_Toc192675977"/>
      <w:bookmarkStart w:id="851" w:name="_Toc134813404"/>
      <w:bookmarkStart w:id="852" w:name="_Toc134812767"/>
      <w:bookmarkStart w:id="853" w:name="_Toc134813130"/>
      <w:bookmarkStart w:id="854" w:name="_Toc134813267"/>
      <w:r>
        <w:rPr>
          <w:rFonts w:eastAsia="黑体"/>
          <w:b/>
          <w:color w:val="000000" w:themeColor="text1"/>
          <w:sz w:val="36"/>
          <w:szCs w:val="36"/>
          <w14:textFill>
            <w14:solidFill>
              <w14:schemeClr w14:val="tx1"/>
            </w14:solidFill>
          </w14:textFill>
        </w:rPr>
        <w:t>9 保障措施</w:t>
      </w:r>
      <w:bookmarkEnd w:id="850"/>
      <w:bookmarkEnd w:id="851"/>
      <w:bookmarkEnd w:id="852"/>
      <w:bookmarkEnd w:id="853"/>
      <w:bookmarkEnd w:id="854"/>
    </w:p>
    <w:p w14:paraId="4668174B">
      <w:pPr>
        <w:pStyle w:val="97"/>
        <w:numPr>
          <w:ilvl w:val="0"/>
          <w:numId w:val="7"/>
        </w:numPr>
        <w:adjustRightInd w:val="0"/>
        <w:snapToGrid w:val="0"/>
        <w:ind w:firstLineChars="0"/>
        <w:jc w:val="left"/>
        <w:outlineLvl w:val="1"/>
        <w:rPr>
          <w:rFonts w:ascii="Times New Roman" w:hAnsi="Times New Roman" w:eastAsia="黑体"/>
          <w:b/>
          <w:vanish/>
          <w:color w:val="000000" w:themeColor="text1"/>
          <w:sz w:val="30"/>
          <w:szCs w:val="30"/>
          <w14:textFill>
            <w14:solidFill>
              <w14:schemeClr w14:val="tx1"/>
            </w14:solidFill>
          </w14:textFill>
        </w:rPr>
      </w:pPr>
      <w:bookmarkStart w:id="855" w:name="_Toc190952354"/>
      <w:bookmarkEnd w:id="855"/>
      <w:bookmarkStart w:id="856" w:name="_Toc192675978"/>
      <w:bookmarkEnd w:id="856"/>
      <w:bookmarkStart w:id="857" w:name="_Toc145341305"/>
      <w:bookmarkEnd w:id="857"/>
      <w:bookmarkStart w:id="858" w:name="_Toc134812768"/>
      <w:bookmarkEnd w:id="858"/>
      <w:bookmarkStart w:id="859" w:name="_Toc161132343"/>
      <w:bookmarkEnd w:id="859"/>
      <w:bookmarkStart w:id="860" w:name="_Toc134813131"/>
      <w:bookmarkEnd w:id="860"/>
      <w:bookmarkStart w:id="861" w:name="_Toc134812910"/>
      <w:bookmarkEnd w:id="861"/>
      <w:bookmarkStart w:id="862" w:name="_Toc150948024"/>
      <w:bookmarkEnd w:id="862"/>
      <w:bookmarkStart w:id="863" w:name="_Toc145344549"/>
      <w:bookmarkEnd w:id="863"/>
      <w:bookmarkStart w:id="864" w:name="_Toc162446383"/>
      <w:bookmarkEnd w:id="864"/>
      <w:bookmarkStart w:id="865" w:name="_Toc148367146"/>
      <w:bookmarkEnd w:id="865"/>
      <w:bookmarkStart w:id="866" w:name="_Toc144211385"/>
      <w:bookmarkEnd w:id="866"/>
      <w:bookmarkStart w:id="867" w:name="_Toc182320748"/>
      <w:bookmarkEnd w:id="867"/>
      <w:bookmarkStart w:id="868" w:name="_Toc186205334"/>
      <w:bookmarkEnd w:id="868"/>
      <w:bookmarkStart w:id="869" w:name="_Toc134813405"/>
      <w:bookmarkEnd w:id="869"/>
      <w:bookmarkStart w:id="870" w:name="_Toc156553732"/>
      <w:bookmarkEnd w:id="870"/>
      <w:bookmarkStart w:id="871" w:name="_Toc156553102"/>
      <w:bookmarkEnd w:id="871"/>
      <w:bookmarkStart w:id="872" w:name="_Toc134813268"/>
      <w:bookmarkEnd w:id="872"/>
      <w:bookmarkStart w:id="873" w:name="_Toc190952906"/>
      <w:bookmarkEnd w:id="873"/>
      <w:bookmarkStart w:id="874" w:name="_Toc134813839"/>
      <w:bookmarkEnd w:id="874"/>
      <w:bookmarkStart w:id="875" w:name="_Toc159406811"/>
      <w:bookmarkEnd w:id="875"/>
      <w:bookmarkStart w:id="876" w:name="_Toc161133183"/>
      <w:bookmarkEnd w:id="876"/>
      <w:bookmarkStart w:id="877" w:name="_Toc417157268"/>
      <w:bookmarkStart w:id="878" w:name="_Toc417156900"/>
      <w:bookmarkStart w:id="879" w:name="_Toc417157187"/>
      <w:bookmarkStart w:id="880" w:name="_Toc417156812"/>
    </w:p>
    <w:p w14:paraId="6B799F4B">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81" w:name="_Toc69126882"/>
      <w:bookmarkStart w:id="882" w:name="_Toc192675979"/>
      <w:r>
        <w:rPr>
          <w:rFonts w:ascii="Times New Roman" w:hAnsi="Times New Roman" w:eastAsia="黑体"/>
          <w:b/>
          <w:color w:val="000000" w:themeColor="text1"/>
          <w:sz w:val="30"/>
          <w:szCs w:val="30"/>
          <w14:textFill>
            <w14:solidFill>
              <w14:schemeClr w14:val="tx1"/>
            </w14:solidFill>
          </w14:textFill>
        </w:rPr>
        <w:t>统筹协调，加强组织领导</w:t>
      </w:r>
      <w:bookmarkEnd w:id="881"/>
      <w:bookmarkEnd w:id="882"/>
    </w:p>
    <w:p w14:paraId="7000F843">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成立产业发展工作领导小组。贯彻落实自治区、市、旗各级政府决策部署，加强战略谋划，审议开发区制造业高质量发展的重大规划、重大政策、重大工程专项和重要工作安排，指导开发区各部门开展工作。</w:t>
      </w:r>
    </w:p>
    <w:p w14:paraId="14D0CCBD">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完善部门协调联动机制。加强财政、就业、投资、环保等相关政策衔接，统筹协调核心要素资源向重点行业领域倾斜，协同推进重点项目布局与发展。充分发挥领导小组作用，深入推进重大产业项目“领导专项督办制”“一对一”包办服务和“全程跟踪、主动帮办”，推动项目尽早落地。</w:t>
      </w:r>
    </w:p>
    <w:p w14:paraId="57F74CA0">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83" w:name="_Toc192675980"/>
      <w:bookmarkStart w:id="884" w:name="_Toc69126883"/>
      <w:r>
        <w:rPr>
          <w:rFonts w:ascii="Times New Roman" w:hAnsi="Times New Roman" w:eastAsia="黑体"/>
          <w:b/>
          <w:color w:val="000000" w:themeColor="text1"/>
          <w:sz w:val="30"/>
          <w:szCs w:val="30"/>
          <w14:textFill>
            <w14:solidFill>
              <w14:schemeClr w14:val="tx1"/>
            </w14:solidFill>
          </w14:textFill>
        </w:rPr>
        <w:t>招商引资，强化项目储备</w:t>
      </w:r>
      <w:bookmarkEnd w:id="883"/>
    </w:p>
    <w:bookmarkEnd w:id="884"/>
    <w:p w14:paraId="18F98A2D">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按照“集群化招商、基地化布局、特色化发展”思路，围绕主导产业、传统优势产业、特色产业和生产性服务业，明确招商范围、目标导向、政策门槛等，力争形成一月一次招商项目集中签约仪式和督办推进会。统筹运用以商招商、委托招商、顾问招商等模式，打好招商组合拳，建立与产业链上央企、龙头企业联动招商机制，促进开发区招商引资主体多元化、模式多样化，推动开发区“建链、补链、延链、强链、稳链、固链”招商项目精细化和精准化。</w:t>
      </w:r>
    </w:p>
    <w:p w14:paraId="52345628">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做好项目排查、挖掘工作，重点挖掘以资源精深加工及战新产业为主、发展前景好、带动能力强、财政增收快的项目。按照“开发一批、储备一批、建设一批、竣工一批”的原则，加强项目储备，对项目库进行动态管理，确保产业发展有足够的项目支撑。</w:t>
      </w:r>
    </w:p>
    <w:p w14:paraId="7222DB7D">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85" w:name="_Toc69126884"/>
      <w:bookmarkStart w:id="886" w:name="_Toc192675981"/>
      <w:r>
        <w:rPr>
          <w:rFonts w:ascii="Times New Roman" w:hAnsi="Times New Roman" w:eastAsia="黑体"/>
          <w:b/>
          <w:color w:val="000000" w:themeColor="text1"/>
          <w:sz w:val="30"/>
          <w:szCs w:val="30"/>
          <w14:textFill>
            <w14:solidFill>
              <w14:schemeClr w14:val="tx1"/>
            </w14:solidFill>
          </w14:textFill>
        </w:rPr>
        <w:t>集约节约，</w:t>
      </w:r>
      <w:bookmarkEnd w:id="885"/>
      <w:r>
        <w:rPr>
          <w:rFonts w:ascii="Times New Roman" w:hAnsi="Times New Roman" w:eastAsia="黑体"/>
          <w:b/>
          <w:color w:val="000000" w:themeColor="text1"/>
          <w:sz w:val="30"/>
          <w:szCs w:val="30"/>
          <w14:textFill>
            <w14:solidFill>
              <w14:schemeClr w14:val="tx1"/>
            </w14:solidFill>
          </w14:textFill>
        </w:rPr>
        <w:t>提高用地水平</w:t>
      </w:r>
      <w:bookmarkEnd w:id="886"/>
    </w:p>
    <w:p w14:paraId="6B232218">
      <w:pPr>
        <w:adjustRightInd w:val="0"/>
        <w:snapToGrid w:val="0"/>
        <w:ind w:firstLine="560"/>
        <w:rPr>
          <w:bCs w:val="0"/>
          <w:color w:val="000000" w:themeColor="text1"/>
          <w14:textFill>
            <w14:solidFill>
              <w14:schemeClr w14:val="tx1"/>
            </w14:solidFill>
          </w14:textFill>
        </w:rPr>
      </w:pPr>
      <w:bookmarkStart w:id="887" w:name="_Toc23607"/>
      <w:bookmarkStart w:id="888" w:name="_Toc3519"/>
      <w:bookmarkStart w:id="889" w:name="_Toc812"/>
      <w:bookmarkStart w:id="890" w:name="_Toc7920"/>
      <w:bookmarkStart w:id="891" w:name="_Toc430755936"/>
      <w:r>
        <w:rPr>
          <w:bCs w:val="0"/>
          <w:color w:val="000000" w:themeColor="text1"/>
          <w14:textFill>
            <w14:solidFill>
              <w14:schemeClr w14:val="tx1"/>
            </w14:solidFill>
          </w14:textFill>
        </w:rPr>
        <w:t>建立差别化用地保障机制。对符合开发区主导产业的重点项目落地所需建设用地予以优先保障，对开发区基础设施和公共服务设施建设用地予以统筹安排。</w:t>
      </w:r>
    </w:p>
    <w:p w14:paraId="15FEAC76">
      <w:pPr>
        <w:adjustRightInd w:val="0"/>
        <w:snapToGrid w:val="0"/>
        <w:ind w:firstLine="560"/>
        <w:rPr>
          <w:rFonts w:eastAsia="仿宋_GB2312"/>
          <w:color w:val="000000" w:themeColor="text1"/>
          <w:sz w:val="32"/>
          <w:szCs w:val="28"/>
          <w14:textFill>
            <w14:solidFill>
              <w14:schemeClr w14:val="tx1"/>
            </w14:solidFill>
          </w14:textFill>
        </w:rPr>
      </w:pPr>
      <w:r>
        <w:rPr>
          <w:bCs w:val="0"/>
          <w:color w:val="000000" w:themeColor="text1"/>
          <w14:textFill>
            <w14:solidFill>
              <w14:schemeClr w14:val="tx1"/>
            </w14:solidFill>
          </w14:textFill>
        </w:rPr>
        <w:t>提高土地节约集约利用水平。以内蒙古自治区“五个大起底行动”为契机，对开发区内批而未供以及闲置土地进行摸排统计。坚持以亩产论英雄、以效益论英雄，建立实行土地退出机制，加大对闲置土地指标清理处置力度。鼓励通过收购储备、鼓励流转、协议置换、合作经营、自主开发等方式，对闲置土地、低效用地等存量用地进行再开发。</w:t>
      </w:r>
    </w:p>
    <w:p w14:paraId="1D94A49F">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92" w:name="_Toc69126885"/>
      <w:bookmarkStart w:id="893" w:name="_Toc192675982"/>
      <w:r>
        <w:rPr>
          <w:rFonts w:ascii="Times New Roman" w:hAnsi="Times New Roman" w:eastAsia="黑体"/>
          <w:b/>
          <w:color w:val="000000" w:themeColor="text1"/>
          <w:sz w:val="30"/>
          <w:szCs w:val="30"/>
          <w14:textFill>
            <w14:solidFill>
              <w14:schemeClr w14:val="tx1"/>
            </w14:solidFill>
          </w14:textFill>
        </w:rPr>
        <w:t>多措并举，加大</w:t>
      </w:r>
      <w:bookmarkEnd w:id="887"/>
      <w:bookmarkEnd w:id="888"/>
      <w:bookmarkEnd w:id="889"/>
      <w:bookmarkEnd w:id="890"/>
      <w:bookmarkEnd w:id="891"/>
      <w:bookmarkEnd w:id="892"/>
      <w:r>
        <w:rPr>
          <w:rFonts w:ascii="Times New Roman" w:hAnsi="Times New Roman" w:eastAsia="黑体"/>
          <w:b/>
          <w:color w:val="000000" w:themeColor="text1"/>
          <w:sz w:val="30"/>
          <w:szCs w:val="30"/>
          <w14:textFill>
            <w14:solidFill>
              <w14:schemeClr w14:val="tx1"/>
            </w14:solidFill>
          </w14:textFill>
        </w:rPr>
        <w:t>资金支持</w:t>
      </w:r>
      <w:bookmarkEnd w:id="893"/>
    </w:p>
    <w:p w14:paraId="7123D4B0">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统筹加大对制造业项目的引导、支持力度，引导各类产业基金投资制造业项目。强化对重点科技项目的财政资金保障，加大对科技创新专项、应用试点示范、行业共性关键技术研发、公共平台等的扶持力度。</w:t>
      </w:r>
    </w:p>
    <w:p w14:paraId="1C6582FC">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争取绿色信贷资金支持。鼓励银行按照市场化、法制化原则，在依法合规、风险可控的情况下扩大绿色园区、绿色企业、绿色项目等贷款规模，探索环境权益贷款、能效贷款等产品。</w:t>
      </w:r>
    </w:p>
    <w:p w14:paraId="1CA01D39">
      <w:pPr>
        <w:pStyle w:val="97"/>
        <w:numPr>
          <w:ilvl w:val="1"/>
          <w:numId w:val="7"/>
        </w:numPr>
        <w:adjustRightInd w:val="0"/>
        <w:snapToGrid w:val="0"/>
        <w:ind w:firstLineChars="0"/>
        <w:jc w:val="left"/>
        <w:outlineLvl w:val="1"/>
        <w:rPr>
          <w:rFonts w:ascii="Times New Roman" w:hAnsi="Times New Roman" w:eastAsia="黑体"/>
          <w:b/>
          <w:color w:val="000000" w:themeColor="text1"/>
          <w:sz w:val="30"/>
          <w:szCs w:val="30"/>
          <w14:textFill>
            <w14:solidFill>
              <w14:schemeClr w14:val="tx1"/>
            </w14:solidFill>
          </w14:textFill>
        </w:rPr>
      </w:pPr>
      <w:bookmarkStart w:id="894" w:name="_Toc192675983"/>
      <w:r>
        <w:rPr>
          <w:rFonts w:ascii="Times New Roman" w:hAnsi="Times New Roman" w:eastAsia="黑体"/>
          <w:b/>
          <w:color w:val="000000" w:themeColor="text1"/>
          <w:sz w:val="30"/>
          <w:szCs w:val="30"/>
          <w14:textFill>
            <w14:solidFill>
              <w14:schemeClr w14:val="tx1"/>
            </w14:solidFill>
          </w14:textFill>
        </w:rPr>
        <w:t>简政放权，优化营商环境</w:t>
      </w:r>
      <w:bookmarkEnd w:id="894"/>
    </w:p>
    <w:p w14:paraId="31BD04DF">
      <w:pPr>
        <w:adjustRightInd w:val="0"/>
        <w:snapToGrid w:val="0"/>
        <w:ind w:firstLine="560"/>
        <w:rPr>
          <w:bCs w:val="0"/>
          <w:color w:val="000000" w:themeColor="text1"/>
          <w14:textFill>
            <w14:solidFill>
              <w14:schemeClr w14:val="tx1"/>
            </w14:solidFill>
          </w14:textFill>
        </w:rPr>
      </w:pPr>
      <w:r>
        <w:rPr>
          <w:bCs w:val="0"/>
          <w:color w:val="000000" w:themeColor="text1"/>
          <w14:textFill>
            <w14:solidFill>
              <w14:schemeClr w14:val="tx1"/>
            </w14:solidFill>
          </w14:textFill>
        </w:rPr>
        <w:t>持续营造亲清新型政商关系，为企业发展提供“保姆式”服务，当好企业发展的“店小二”。充分对接企业的办事需求，聚焦企业反映最集中的痛点、堵点、难点问题，打通政策落实的“最后一公里”。进一步完善企业诉求协调处置机制，充分发挥好各职能部门作用，提高诉求处置效率。</w:t>
      </w:r>
    </w:p>
    <w:p w14:paraId="7BEE85A7">
      <w:pPr>
        <w:adjustRightInd w:val="0"/>
        <w:snapToGrid w:val="0"/>
        <w:ind w:firstLine="560"/>
        <w:rPr>
          <w:color w:val="000000" w:themeColor="text1"/>
          <w14:textFill>
            <w14:solidFill>
              <w14:schemeClr w14:val="tx1"/>
            </w14:solidFill>
          </w14:textFill>
        </w:rPr>
      </w:pPr>
      <w:r>
        <w:rPr>
          <w:bCs w:val="0"/>
          <w:color w:val="000000" w:themeColor="text1"/>
          <w14:textFill>
            <w14:solidFill>
              <w14:schemeClr w14:val="tx1"/>
            </w14:solidFill>
          </w14:textFill>
        </w:rPr>
        <w:t>完善数字政务系统，加强网上服务大厅办公模式，积极实施行政服务信息化建设，实现网上虚拟服务大厅一站式服务。加快推进线上线下政务服务资源融合发展，实现政务跨部门整体业务协同，建立统一政务信息资源管理和应用机构</w:t>
      </w:r>
      <w:r>
        <w:rPr>
          <w:color w:val="000000" w:themeColor="text1"/>
          <w14:textFill>
            <w14:solidFill>
              <w14:schemeClr w14:val="tx1"/>
            </w14:solidFill>
          </w14:textFill>
        </w:rPr>
        <w:t>。</w:t>
      </w:r>
      <w:bookmarkEnd w:id="877"/>
      <w:bookmarkEnd w:id="878"/>
      <w:bookmarkEnd w:id="879"/>
      <w:bookmarkEnd w:id="880"/>
    </w:p>
    <w:p w14:paraId="026B7BF0">
      <w:pPr>
        <w:snapToGrid w:val="0"/>
        <w:ind w:left="480" w:firstLine="0" w:firstLineChars="0"/>
        <w:rPr>
          <w:color w:val="000000" w:themeColor="text1"/>
          <w14:textFill>
            <w14:solidFill>
              <w14:schemeClr w14:val="tx1"/>
            </w14:solidFill>
          </w14:textFill>
        </w:rPr>
        <w:sectPr>
          <w:type w:val="continuous"/>
          <w:pgSz w:w="11907" w:h="16840"/>
          <w:pgMar w:top="1440" w:right="1800" w:bottom="1440" w:left="1800" w:header="851" w:footer="992" w:gutter="0"/>
          <w:cols w:space="720" w:num="1"/>
          <w:docGrid w:linePitch="312" w:charSpace="0"/>
        </w:sectPr>
      </w:pPr>
    </w:p>
    <w:p w14:paraId="56AD9BE4">
      <w:pPr>
        <w:pStyle w:val="95"/>
      </w:pPr>
      <w:bookmarkStart w:id="895" w:name="_Toc182320754"/>
      <w:bookmarkStart w:id="896" w:name="_Toc192675984"/>
      <w:bookmarkStart w:id="897" w:name="_Toc186205340"/>
      <w:r>
        <w:t>附表1 园区企业基本情况（规划区）</w:t>
      </w:r>
      <w:bookmarkEnd w:id="895"/>
      <w:bookmarkEnd w:id="896"/>
      <w:bookmarkEnd w:id="897"/>
    </w:p>
    <w:tbl>
      <w:tblPr>
        <w:tblStyle w:val="6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459"/>
        <w:gridCol w:w="2366"/>
        <w:gridCol w:w="2366"/>
        <w:gridCol w:w="1227"/>
      </w:tblGrid>
      <w:tr w14:paraId="112E3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8" w:type="pct"/>
            <w:vAlign w:val="center"/>
          </w:tcPr>
          <w:p w14:paraId="19D09B03">
            <w:pPr>
              <w:spacing w:line="240" w:lineRule="auto"/>
              <w:ind w:firstLine="0" w:firstLineChars="0"/>
              <w:jc w:val="center"/>
              <w:rPr>
                <w:sz w:val="21"/>
                <w:szCs w:val="21"/>
              </w:rPr>
            </w:pPr>
            <w:r>
              <w:rPr>
                <w:sz w:val="21"/>
                <w:szCs w:val="21"/>
              </w:rPr>
              <w:t>序号</w:t>
            </w:r>
          </w:p>
        </w:tc>
        <w:tc>
          <w:tcPr>
            <w:tcW w:w="856" w:type="pct"/>
            <w:vAlign w:val="center"/>
          </w:tcPr>
          <w:p w14:paraId="1B52B340">
            <w:pPr>
              <w:spacing w:line="240" w:lineRule="auto"/>
              <w:ind w:firstLine="0" w:firstLineChars="0"/>
              <w:rPr>
                <w:sz w:val="21"/>
                <w:szCs w:val="21"/>
              </w:rPr>
            </w:pPr>
            <w:r>
              <w:rPr>
                <w:sz w:val="21"/>
                <w:szCs w:val="21"/>
              </w:rPr>
              <w:t>企业名称</w:t>
            </w:r>
          </w:p>
        </w:tc>
        <w:tc>
          <w:tcPr>
            <w:tcW w:w="1388" w:type="pct"/>
            <w:vAlign w:val="center"/>
          </w:tcPr>
          <w:p w14:paraId="24033B31">
            <w:pPr>
              <w:spacing w:line="240" w:lineRule="auto"/>
              <w:ind w:firstLine="0" w:firstLineChars="0"/>
              <w:rPr>
                <w:sz w:val="21"/>
                <w:szCs w:val="21"/>
              </w:rPr>
            </w:pPr>
            <w:r>
              <w:rPr>
                <w:sz w:val="21"/>
                <w:szCs w:val="21"/>
              </w:rPr>
              <w:t>主要产品及设计生产能力</w:t>
            </w:r>
          </w:p>
        </w:tc>
        <w:tc>
          <w:tcPr>
            <w:tcW w:w="1388" w:type="pct"/>
            <w:vAlign w:val="center"/>
          </w:tcPr>
          <w:p w14:paraId="0DD1F284">
            <w:pPr>
              <w:spacing w:line="240" w:lineRule="auto"/>
              <w:ind w:firstLine="0" w:firstLineChars="0"/>
              <w:rPr>
                <w:sz w:val="21"/>
                <w:szCs w:val="21"/>
              </w:rPr>
            </w:pPr>
            <w:r>
              <w:rPr>
                <w:sz w:val="21"/>
                <w:szCs w:val="21"/>
              </w:rPr>
              <w:t>主要装备及技术</w:t>
            </w:r>
          </w:p>
        </w:tc>
        <w:tc>
          <w:tcPr>
            <w:tcW w:w="720" w:type="pct"/>
            <w:vAlign w:val="center"/>
          </w:tcPr>
          <w:p w14:paraId="6CD90F02">
            <w:pPr>
              <w:spacing w:line="240" w:lineRule="auto"/>
              <w:ind w:firstLine="0" w:firstLineChars="0"/>
              <w:rPr>
                <w:sz w:val="21"/>
                <w:szCs w:val="21"/>
              </w:rPr>
            </w:pPr>
            <w:r>
              <w:rPr>
                <w:sz w:val="21"/>
                <w:szCs w:val="21"/>
              </w:rPr>
              <w:t>行业类别</w:t>
            </w:r>
          </w:p>
        </w:tc>
      </w:tr>
      <w:tr w14:paraId="4371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606712F2">
            <w:pPr>
              <w:spacing w:line="240" w:lineRule="auto"/>
              <w:ind w:firstLine="0" w:firstLineChars="0"/>
              <w:rPr>
                <w:sz w:val="21"/>
                <w:szCs w:val="21"/>
              </w:rPr>
            </w:pPr>
            <w:r>
              <w:rPr>
                <w:sz w:val="21"/>
                <w:szCs w:val="21"/>
              </w:rPr>
              <w:t>1</w:t>
            </w:r>
          </w:p>
        </w:tc>
        <w:tc>
          <w:tcPr>
            <w:tcW w:w="856" w:type="pct"/>
            <w:vMerge w:val="restart"/>
            <w:vAlign w:val="center"/>
          </w:tcPr>
          <w:p w14:paraId="3659DB78">
            <w:pPr>
              <w:spacing w:line="240" w:lineRule="auto"/>
              <w:ind w:firstLine="0" w:firstLineChars="0"/>
              <w:rPr>
                <w:sz w:val="21"/>
                <w:szCs w:val="21"/>
              </w:rPr>
            </w:pPr>
            <w:r>
              <w:rPr>
                <w:sz w:val="21"/>
                <w:szCs w:val="21"/>
              </w:rPr>
              <w:t>弘元新材料（包头）有限公司</w:t>
            </w:r>
          </w:p>
        </w:tc>
        <w:tc>
          <w:tcPr>
            <w:tcW w:w="1388" w:type="pct"/>
            <w:vAlign w:val="center"/>
          </w:tcPr>
          <w:p w14:paraId="3904B0D4">
            <w:pPr>
              <w:spacing w:line="240" w:lineRule="auto"/>
              <w:ind w:firstLine="0" w:firstLineChars="0"/>
              <w:rPr>
                <w:sz w:val="21"/>
                <w:szCs w:val="21"/>
              </w:rPr>
            </w:pPr>
            <w:r>
              <w:rPr>
                <w:sz w:val="21"/>
                <w:szCs w:val="21"/>
              </w:rPr>
              <w:t>5GW单晶项目</w:t>
            </w:r>
          </w:p>
        </w:tc>
        <w:tc>
          <w:tcPr>
            <w:tcW w:w="1388" w:type="pct"/>
            <w:vAlign w:val="center"/>
          </w:tcPr>
          <w:p w14:paraId="5C303D66">
            <w:pPr>
              <w:spacing w:line="240" w:lineRule="auto"/>
              <w:ind w:firstLine="0" w:firstLineChars="0"/>
              <w:rPr>
                <w:sz w:val="21"/>
                <w:szCs w:val="21"/>
              </w:rPr>
            </w:pPr>
            <w:r>
              <w:rPr>
                <w:sz w:val="21"/>
                <w:szCs w:val="21"/>
              </w:rPr>
              <w:t>单晶硅拉制、硅料清洗、机加工</w:t>
            </w:r>
          </w:p>
        </w:tc>
        <w:tc>
          <w:tcPr>
            <w:tcW w:w="720" w:type="pct"/>
            <w:vMerge w:val="restart"/>
            <w:vAlign w:val="center"/>
          </w:tcPr>
          <w:p w14:paraId="4C497D95">
            <w:pPr>
              <w:spacing w:line="240" w:lineRule="auto"/>
              <w:ind w:firstLine="0" w:firstLineChars="0"/>
              <w:rPr>
                <w:sz w:val="21"/>
                <w:szCs w:val="21"/>
              </w:rPr>
            </w:pPr>
            <w:r>
              <w:rPr>
                <w:sz w:val="21"/>
                <w:szCs w:val="21"/>
              </w:rPr>
              <w:t>电子元件及电子专用材料制造</w:t>
            </w:r>
          </w:p>
        </w:tc>
      </w:tr>
      <w:tr w14:paraId="7A232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3C19BB08">
            <w:pPr>
              <w:widowControl/>
              <w:spacing w:line="240" w:lineRule="auto"/>
              <w:ind w:firstLine="0" w:firstLineChars="0"/>
              <w:jc w:val="left"/>
              <w:rPr>
                <w:rFonts w:eastAsia="等线"/>
                <w:sz w:val="21"/>
                <w:szCs w:val="21"/>
              </w:rPr>
            </w:pPr>
          </w:p>
        </w:tc>
        <w:tc>
          <w:tcPr>
            <w:tcW w:w="856" w:type="pct"/>
            <w:vMerge w:val="continue"/>
            <w:vAlign w:val="center"/>
          </w:tcPr>
          <w:p w14:paraId="073C946F">
            <w:pPr>
              <w:widowControl/>
              <w:spacing w:line="240" w:lineRule="auto"/>
              <w:ind w:firstLine="0" w:firstLineChars="0"/>
              <w:jc w:val="left"/>
              <w:rPr>
                <w:rFonts w:eastAsia="等线"/>
                <w:sz w:val="21"/>
                <w:szCs w:val="21"/>
              </w:rPr>
            </w:pPr>
          </w:p>
        </w:tc>
        <w:tc>
          <w:tcPr>
            <w:tcW w:w="1388" w:type="pct"/>
            <w:vAlign w:val="center"/>
          </w:tcPr>
          <w:p w14:paraId="49A611E0">
            <w:pPr>
              <w:spacing w:line="240" w:lineRule="auto"/>
              <w:ind w:firstLine="0" w:firstLineChars="0"/>
              <w:rPr>
                <w:sz w:val="21"/>
                <w:szCs w:val="21"/>
              </w:rPr>
            </w:pPr>
            <w:r>
              <w:rPr>
                <w:sz w:val="21"/>
                <w:szCs w:val="21"/>
              </w:rPr>
              <w:t>8GW单晶硅</w:t>
            </w:r>
          </w:p>
        </w:tc>
        <w:tc>
          <w:tcPr>
            <w:tcW w:w="1388" w:type="pct"/>
            <w:vAlign w:val="center"/>
          </w:tcPr>
          <w:p w14:paraId="17BBB4F0">
            <w:pPr>
              <w:spacing w:line="240" w:lineRule="auto"/>
              <w:ind w:firstLine="0" w:firstLineChars="0"/>
              <w:rPr>
                <w:sz w:val="21"/>
                <w:szCs w:val="21"/>
              </w:rPr>
            </w:pPr>
            <w:r>
              <w:rPr>
                <w:sz w:val="21"/>
                <w:szCs w:val="21"/>
              </w:rPr>
              <w:t>单晶炉</w:t>
            </w:r>
          </w:p>
        </w:tc>
        <w:tc>
          <w:tcPr>
            <w:tcW w:w="720" w:type="pct"/>
            <w:vMerge w:val="continue"/>
            <w:vAlign w:val="center"/>
          </w:tcPr>
          <w:p w14:paraId="0188BD33">
            <w:pPr>
              <w:widowControl/>
              <w:spacing w:line="240" w:lineRule="auto"/>
              <w:ind w:firstLine="0" w:firstLineChars="0"/>
              <w:jc w:val="left"/>
              <w:rPr>
                <w:rFonts w:eastAsia="等线"/>
                <w:sz w:val="21"/>
                <w:szCs w:val="21"/>
              </w:rPr>
            </w:pPr>
          </w:p>
        </w:tc>
      </w:tr>
      <w:tr w14:paraId="07C2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2D55AE25">
            <w:pPr>
              <w:widowControl/>
              <w:spacing w:line="240" w:lineRule="auto"/>
              <w:ind w:firstLine="0" w:firstLineChars="0"/>
              <w:jc w:val="left"/>
              <w:rPr>
                <w:rFonts w:eastAsia="等线"/>
                <w:sz w:val="21"/>
                <w:szCs w:val="21"/>
              </w:rPr>
            </w:pPr>
          </w:p>
        </w:tc>
        <w:tc>
          <w:tcPr>
            <w:tcW w:w="856" w:type="pct"/>
            <w:vMerge w:val="continue"/>
            <w:vAlign w:val="center"/>
          </w:tcPr>
          <w:p w14:paraId="5FFA72FC">
            <w:pPr>
              <w:widowControl/>
              <w:spacing w:line="240" w:lineRule="auto"/>
              <w:ind w:firstLine="0" w:firstLineChars="0"/>
              <w:jc w:val="left"/>
              <w:rPr>
                <w:rFonts w:eastAsia="等线"/>
                <w:sz w:val="21"/>
                <w:szCs w:val="21"/>
              </w:rPr>
            </w:pPr>
          </w:p>
        </w:tc>
        <w:tc>
          <w:tcPr>
            <w:tcW w:w="1388" w:type="pct"/>
            <w:vAlign w:val="center"/>
          </w:tcPr>
          <w:p w14:paraId="3C994C87">
            <w:pPr>
              <w:spacing w:line="240" w:lineRule="auto"/>
              <w:ind w:firstLine="0" w:firstLineChars="0"/>
              <w:rPr>
                <w:sz w:val="21"/>
                <w:szCs w:val="21"/>
              </w:rPr>
            </w:pPr>
            <w:r>
              <w:rPr>
                <w:sz w:val="21"/>
                <w:szCs w:val="21"/>
              </w:rPr>
              <w:t>10GW单晶及配套切片</w:t>
            </w:r>
          </w:p>
        </w:tc>
        <w:tc>
          <w:tcPr>
            <w:tcW w:w="1388" w:type="pct"/>
            <w:vAlign w:val="center"/>
          </w:tcPr>
          <w:p w14:paraId="25CB8BB8">
            <w:pPr>
              <w:spacing w:line="240" w:lineRule="auto"/>
              <w:ind w:firstLine="0" w:firstLineChars="0"/>
              <w:rPr>
                <w:sz w:val="21"/>
                <w:szCs w:val="21"/>
              </w:rPr>
            </w:pPr>
            <w:r>
              <w:rPr>
                <w:sz w:val="21"/>
                <w:szCs w:val="21"/>
              </w:rPr>
              <w:t>单晶炉及切片机等相关配套设备</w:t>
            </w:r>
          </w:p>
        </w:tc>
        <w:tc>
          <w:tcPr>
            <w:tcW w:w="720" w:type="pct"/>
            <w:vMerge w:val="continue"/>
            <w:vAlign w:val="center"/>
          </w:tcPr>
          <w:p w14:paraId="58A6D6F9">
            <w:pPr>
              <w:widowControl/>
              <w:spacing w:line="240" w:lineRule="auto"/>
              <w:ind w:firstLine="0" w:firstLineChars="0"/>
              <w:jc w:val="left"/>
              <w:rPr>
                <w:rFonts w:eastAsia="等线"/>
                <w:sz w:val="21"/>
                <w:szCs w:val="21"/>
              </w:rPr>
            </w:pPr>
          </w:p>
        </w:tc>
      </w:tr>
      <w:tr w14:paraId="65B8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2B038777">
            <w:pPr>
              <w:widowControl/>
              <w:spacing w:line="240" w:lineRule="auto"/>
              <w:ind w:firstLine="0" w:firstLineChars="0"/>
              <w:jc w:val="left"/>
              <w:rPr>
                <w:rFonts w:eastAsia="等线"/>
                <w:sz w:val="21"/>
                <w:szCs w:val="21"/>
              </w:rPr>
            </w:pPr>
          </w:p>
        </w:tc>
        <w:tc>
          <w:tcPr>
            <w:tcW w:w="856" w:type="pct"/>
            <w:vMerge w:val="continue"/>
            <w:vAlign w:val="center"/>
          </w:tcPr>
          <w:p w14:paraId="2FED075E">
            <w:pPr>
              <w:widowControl/>
              <w:spacing w:line="240" w:lineRule="auto"/>
              <w:ind w:firstLine="0" w:firstLineChars="0"/>
              <w:jc w:val="left"/>
              <w:rPr>
                <w:rFonts w:eastAsia="等线"/>
                <w:sz w:val="21"/>
                <w:szCs w:val="21"/>
              </w:rPr>
            </w:pPr>
          </w:p>
        </w:tc>
        <w:tc>
          <w:tcPr>
            <w:tcW w:w="1388" w:type="pct"/>
            <w:vAlign w:val="center"/>
          </w:tcPr>
          <w:p w14:paraId="0BD76DE3">
            <w:pPr>
              <w:spacing w:line="240" w:lineRule="auto"/>
              <w:ind w:firstLine="0" w:firstLineChars="0"/>
              <w:rPr>
                <w:sz w:val="21"/>
                <w:szCs w:val="21"/>
              </w:rPr>
            </w:pPr>
            <w:r>
              <w:rPr>
                <w:sz w:val="21"/>
                <w:szCs w:val="21"/>
              </w:rPr>
              <w:t>年产40GW单晶及配套切片项目——第一期20GW单晶及10GW切片</w:t>
            </w:r>
          </w:p>
        </w:tc>
        <w:tc>
          <w:tcPr>
            <w:tcW w:w="1388" w:type="pct"/>
            <w:vAlign w:val="center"/>
          </w:tcPr>
          <w:p w14:paraId="05F3B526">
            <w:pPr>
              <w:spacing w:line="240" w:lineRule="auto"/>
              <w:ind w:firstLine="0" w:firstLineChars="0"/>
              <w:rPr>
                <w:sz w:val="21"/>
                <w:szCs w:val="21"/>
              </w:rPr>
            </w:pPr>
            <w:r>
              <w:rPr>
                <w:sz w:val="21"/>
                <w:szCs w:val="21"/>
              </w:rPr>
              <w:t>单晶炉及切片机等相关配套设备</w:t>
            </w:r>
          </w:p>
        </w:tc>
        <w:tc>
          <w:tcPr>
            <w:tcW w:w="720" w:type="pct"/>
            <w:vMerge w:val="continue"/>
            <w:vAlign w:val="center"/>
          </w:tcPr>
          <w:p w14:paraId="71869934">
            <w:pPr>
              <w:widowControl/>
              <w:spacing w:line="240" w:lineRule="auto"/>
              <w:ind w:firstLine="0" w:firstLineChars="0"/>
              <w:jc w:val="left"/>
              <w:rPr>
                <w:rFonts w:eastAsia="等线"/>
                <w:sz w:val="21"/>
                <w:szCs w:val="21"/>
              </w:rPr>
            </w:pPr>
          </w:p>
        </w:tc>
      </w:tr>
      <w:tr w14:paraId="69F68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60530E93">
            <w:pPr>
              <w:widowControl/>
              <w:spacing w:line="240" w:lineRule="auto"/>
              <w:ind w:firstLine="0" w:firstLineChars="0"/>
              <w:jc w:val="left"/>
              <w:rPr>
                <w:rFonts w:eastAsia="等线"/>
                <w:sz w:val="21"/>
                <w:szCs w:val="21"/>
              </w:rPr>
            </w:pPr>
          </w:p>
        </w:tc>
        <w:tc>
          <w:tcPr>
            <w:tcW w:w="856" w:type="pct"/>
            <w:vMerge w:val="continue"/>
            <w:vAlign w:val="center"/>
          </w:tcPr>
          <w:p w14:paraId="46F7247D">
            <w:pPr>
              <w:widowControl/>
              <w:spacing w:line="240" w:lineRule="auto"/>
              <w:ind w:firstLine="0" w:firstLineChars="0"/>
              <w:jc w:val="left"/>
              <w:rPr>
                <w:rFonts w:eastAsia="等线"/>
                <w:sz w:val="21"/>
                <w:szCs w:val="21"/>
              </w:rPr>
            </w:pPr>
          </w:p>
        </w:tc>
        <w:tc>
          <w:tcPr>
            <w:tcW w:w="1388" w:type="pct"/>
            <w:vAlign w:val="center"/>
          </w:tcPr>
          <w:p w14:paraId="4601B764">
            <w:pPr>
              <w:spacing w:line="240" w:lineRule="auto"/>
              <w:ind w:firstLine="0" w:firstLineChars="0"/>
              <w:rPr>
                <w:sz w:val="21"/>
                <w:szCs w:val="21"/>
              </w:rPr>
            </w:pPr>
            <w:r>
              <w:rPr>
                <w:sz w:val="21"/>
                <w:szCs w:val="21"/>
              </w:rPr>
              <w:t>16GW太阳能电池项目</w:t>
            </w:r>
          </w:p>
        </w:tc>
        <w:tc>
          <w:tcPr>
            <w:tcW w:w="1388" w:type="pct"/>
            <w:vAlign w:val="center"/>
          </w:tcPr>
          <w:p w14:paraId="5F0CB24B">
            <w:pPr>
              <w:spacing w:line="240" w:lineRule="auto"/>
              <w:ind w:firstLine="0" w:firstLineChars="0"/>
              <w:rPr>
                <w:sz w:val="21"/>
                <w:szCs w:val="21"/>
              </w:rPr>
            </w:pPr>
          </w:p>
        </w:tc>
        <w:tc>
          <w:tcPr>
            <w:tcW w:w="720" w:type="pct"/>
            <w:vAlign w:val="center"/>
          </w:tcPr>
          <w:p w14:paraId="201A4AAD">
            <w:pPr>
              <w:spacing w:line="240" w:lineRule="auto"/>
              <w:ind w:firstLine="0" w:firstLineChars="0"/>
              <w:rPr>
                <w:sz w:val="21"/>
                <w:szCs w:val="21"/>
              </w:rPr>
            </w:pPr>
            <w:r>
              <w:rPr>
                <w:sz w:val="21"/>
                <w:szCs w:val="21"/>
              </w:rPr>
              <w:t>电气机械和器材制造业</w:t>
            </w:r>
          </w:p>
        </w:tc>
      </w:tr>
      <w:tr w14:paraId="190AB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69AC2CA7">
            <w:pPr>
              <w:spacing w:line="240" w:lineRule="auto"/>
              <w:ind w:firstLine="0" w:firstLineChars="0"/>
              <w:rPr>
                <w:sz w:val="21"/>
                <w:szCs w:val="21"/>
              </w:rPr>
            </w:pPr>
            <w:r>
              <w:rPr>
                <w:sz w:val="21"/>
                <w:szCs w:val="21"/>
              </w:rPr>
              <w:t>2</w:t>
            </w:r>
          </w:p>
        </w:tc>
        <w:tc>
          <w:tcPr>
            <w:tcW w:w="856" w:type="pct"/>
            <w:vMerge w:val="restart"/>
            <w:vAlign w:val="center"/>
          </w:tcPr>
          <w:p w14:paraId="5E851BEC">
            <w:pPr>
              <w:spacing w:line="240" w:lineRule="auto"/>
              <w:ind w:firstLine="0" w:firstLineChars="0"/>
              <w:rPr>
                <w:sz w:val="21"/>
                <w:szCs w:val="21"/>
              </w:rPr>
            </w:pPr>
            <w:r>
              <w:rPr>
                <w:sz w:val="21"/>
                <w:szCs w:val="21"/>
              </w:rPr>
              <w:t>包头晶澳太阳能科技有限公司</w:t>
            </w:r>
          </w:p>
        </w:tc>
        <w:tc>
          <w:tcPr>
            <w:tcW w:w="1388" w:type="pct"/>
            <w:vAlign w:val="center"/>
          </w:tcPr>
          <w:p w14:paraId="5CEDB6EA">
            <w:pPr>
              <w:spacing w:line="240" w:lineRule="auto"/>
              <w:ind w:firstLine="0" w:firstLineChars="0"/>
              <w:rPr>
                <w:sz w:val="21"/>
                <w:szCs w:val="21"/>
              </w:rPr>
            </w:pPr>
            <w:r>
              <w:rPr>
                <w:sz w:val="21"/>
                <w:szCs w:val="21"/>
              </w:rPr>
              <w:t>3GW拉晶、铸锭、切片项目一期工程（年产1GW单晶硅方、1GW多晶铸锭及30000只石英坩埚）</w:t>
            </w:r>
          </w:p>
        </w:tc>
        <w:tc>
          <w:tcPr>
            <w:tcW w:w="1388" w:type="pct"/>
            <w:vAlign w:val="center"/>
          </w:tcPr>
          <w:p w14:paraId="28FB9058">
            <w:pPr>
              <w:spacing w:line="240" w:lineRule="auto"/>
              <w:ind w:firstLine="0" w:firstLineChars="0"/>
              <w:rPr>
                <w:sz w:val="21"/>
                <w:szCs w:val="21"/>
              </w:rPr>
            </w:pPr>
          </w:p>
        </w:tc>
        <w:tc>
          <w:tcPr>
            <w:tcW w:w="720" w:type="pct"/>
            <w:vMerge w:val="restart"/>
            <w:vAlign w:val="center"/>
          </w:tcPr>
          <w:p w14:paraId="1C0382B0">
            <w:pPr>
              <w:spacing w:line="240" w:lineRule="auto"/>
              <w:ind w:firstLine="0" w:firstLineChars="0"/>
              <w:rPr>
                <w:sz w:val="21"/>
                <w:szCs w:val="21"/>
              </w:rPr>
            </w:pPr>
            <w:r>
              <w:rPr>
                <w:sz w:val="21"/>
                <w:szCs w:val="21"/>
              </w:rPr>
              <w:t>电子元件及电子专用材料制造</w:t>
            </w:r>
          </w:p>
        </w:tc>
      </w:tr>
      <w:tr w14:paraId="6517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326BFF6A">
            <w:pPr>
              <w:widowControl/>
              <w:spacing w:line="240" w:lineRule="auto"/>
              <w:ind w:firstLine="0" w:firstLineChars="0"/>
              <w:jc w:val="left"/>
              <w:rPr>
                <w:rFonts w:eastAsia="等线"/>
                <w:sz w:val="21"/>
                <w:szCs w:val="21"/>
              </w:rPr>
            </w:pPr>
          </w:p>
        </w:tc>
        <w:tc>
          <w:tcPr>
            <w:tcW w:w="856" w:type="pct"/>
            <w:vMerge w:val="continue"/>
            <w:vAlign w:val="center"/>
          </w:tcPr>
          <w:p w14:paraId="0801983C">
            <w:pPr>
              <w:widowControl/>
              <w:spacing w:line="240" w:lineRule="auto"/>
              <w:ind w:firstLine="0" w:firstLineChars="0"/>
              <w:jc w:val="left"/>
              <w:rPr>
                <w:rFonts w:eastAsia="等线"/>
                <w:sz w:val="21"/>
                <w:szCs w:val="21"/>
              </w:rPr>
            </w:pPr>
          </w:p>
        </w:tc>
        <w:tc>
          <w:tcPr>
            <w:tcW w:w="1388" w:type="pct"/>
            <w:vAlign w:val="center"/>
          </w:tcPr>
          <w:p w14:paraId="4DDE1494">
            <w:pPr>
              <w:spacing w:line="240" w:lineRule="auto"/>
              <w:ind w:firstLine="0" w:firstLineChars="0"/>
              <w:rPr>
                <w:sz w:val="21"/>
                <w:szCs w:val="21"/>
              </w:rPr>
            </w:pPr>
            <w:r>
              <w:rPr>
                <w:sz w:val="21"/>
                <w:szCs w:val="21"/>
              </w:rPr>
              <w:t>3GW拉晶、铸锭、切片项目二期工程（1GW单晶硅方）</w:t>
            </w:r>
          </w:p>
        </w:tc>
        <w:tc>
          <w:tcPr>
            <w:tcW w:w="1388" w:type="pct"/>
            <w:vAlign w:val="center"/>
          </w:tcPr>
          <w:p w14:paraId="20C63A81">
            <w:pPr>
              <w:spacing w:line="240" w:lineRule="auto"/>
              <w:ind w:firstLine="0" w:firstLineChars="0"/>
              <w:rPr>
                <w:sz w:val="21"/>
                <w:szCs w:val="21"/>
              </w:rPr>
            </w:pPr>
            <w:r>
              <w:rPr>
                <w:sz w:val="21"/>
                <w:szCs w:val="21"/>
              </w:rPr>
              <w:t>192台1200型单晶炉</w:t>
            </w:r>
          </w:p>
        </w:tc>
        <w:tc>
          <w:tcPr>
            <w:tcW w:w="720" w:type="pct"/>
            <w:vMerge w:val="continue"/>
            <w:vAlign w:val="center"/>
          </w:tcPr>
          <w:p w14:paraId="4E3FA878">
            <w:pPr>
              <w:widowControl/>
              <w:spacing w:line="240" w:lineRule="auto"/>
              <w:ind w:firstLine="0" w:firstLineChars="0"/>
              <w:jc w:val="left"/>
              <w:rPr>
                <w:rFonts w:eastAsia="等线"/>
                <w:sz w:val="21"/>
                <w:szCs w:val="21"/>
              </w:rPr>
            </w:pPr>
          </w:p>
        </w:tc>
      </w:tr>
      <w:tr w14:paraId="4307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724829D1">
            <w:pPr>
              <w:widowControl/>
              <w:spacing w:line="240" w:lineRule="auto"/>
              <w:ind w:firstLine="0" w:firstLineChars="0"/>
              <w:jc w:val="left"/>
              <w:rPr>
                <w:rFonts w:eastAsia="等线"/>
                <w:sz w:val="21"/>
                <w:szCs w:val="21"/>
              </w:rPr>
            </w:pPr>
          </w:p>
        </w:tc>
        <w:tc>
          <w:tcPr>
            <w:tcW w:w="856" w:type="pct"/>
            <w:vMerge w:val="continue"/>
            <w:vAlign w:val="center"/>
          </w:tcPr>
          <w:p w14:paraId="6CF4853D">
            <w:pPr>
              <w:widowControl/>
              <w:spacing w:line="240" w:lineRule="auto"/>
              <w:ind w:firstLine="0" w:firstLineChars="0"/>
              <w:jc w:val="left"/>
              <w:rPr>
                <w:rFonts w:eastAsia="等线"/>
                <w:sz w:val="21"/>
                <w:szCs w:val="21"/>
              </w:rPr>
            </w:pPr>
          </w:p>
        </w:tc>
        <w:tc>
          <w:tcPr>
            <w:tcW w:w="1388" w:type="pct"/>
            <w:vAlign w:val="center"/>
          </w:tcPr>
          <w:p w14:paraId="25606EAD">
            <w:pPr>
              <w:spacing w:line="240" w:lineRule="auto"/>
              <w:ind w:firstLine="0" w:firstLineChars="0"/>
              <w:rPr>
                <w:sz w:val="21"/>
                <w:szCs w:val="21"/>
              </w:rPr>
            </w:pPr>
            <w:r>
              <w:rPr>
                <w:sz w:val="21"/>
                <w:szCs w:val="21"/>
              </w:rPr>
              <w:t>年产1.6GW单晶硅方</w:t>
            </w:r>
          </w:p>
        </w:tc>
        <w:tc>
          <w:tcPr>
            <w:tcW w:w="1388" w:type="pct"/>
            <w:vAlign w:val="center"/>
          </w:tcPr>
          <w:p w14:paraId="138FFF97">
            <w:pPr>
              <w:spacing w:line="240" w:lineRule="auto"/>
              <w:ind w:firstLine="0" w:firstLineChars="0"/>
              <w:rPr>
                <w:sz w:val="21"/>
                <w:szCs w:val="21"/>
              </w:rPr>
            </w:pPr>
            <w:r>
              <w:rPr>
                <w:sz w:val="21"/>
                <w:szCs w:val="21"/>
              </w:rPr>
              <w:t>224台1400型单晶炉</w:t>
            </w:r>
          </w:p>
        </w:tc>
        <w:tc>
          <w:tcPr>
            <w:tcW w:w="720" w:type="pct"/>
            <w:vMerge w:val="continue"/>
            <w:vAlign w:val="center"/>
          </w:tcPr>
          <w:p w14:paraId="32AFFED3">
            <w:pPr>
              <w:widowControl/>
              <w:spacing w:line="240" w:lineRule="auto"/>
              <w:ind w:firstLine="0" w:firstLineChars="0"/>
              <w:jc w:val="left"/>
              <w:rPr>
                <w:rFonts w:eastAsia="等线"/>
                <w:sz w:val="21"/>
                <w:szCs w:val="21"/>
              </w:rPr>
            </w:pPr>
          </w:p>
        </w:tc>
      </w:tr>
      <w:tr w14:paraId="13C4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6D3D4F45">
            <w:pPr>
              <w:widowControl/>
              <w:spacing w:line="240" w:lineRule="auto"/>
              <w:ind w:firstLine="0" w:firstLineChars="0"/>
              <w:jc w:val="left"/>
              <w:rPr>
                <w:rFonts w:eastAsia="等线"/>
                <w:sz w:val="21"/>
                <w:szCs w:val="21"/>
              </w:rPr>
            </w:pPr>
          </w:p>
        </w:tc>
        <w:tc>
          <w:tcPr>
            <w:tcW w:w="856" w:type="pct"/>
            <w:vMerge w:val="continue"/>
            <w:vAlign w:val="center"/>
          </w:tcPr>
          <w:p w14:paraId="4C7E75A2">
            <w:pPr>
              <w:widowControl/>
              <w:spacing w:line="240" w:lineRule="auto"/>
              <w:ind w:firstLine="0" w:firstLineChars="0"/>
              <w:jc w:val="left"/>
              <w:rPr>
                <w:rFonts w:eastAsia="等线"/>
                <w:sz w:val="21"/>
                <w:szCs w:val="21"/>
              </w:rPr>
            </w:pPr>
          </w:p>
        </w:tc>
        <w:tc>
          <w:tcPr>
            <w:tcW w:w="1388" w:type="pct"/>
            <w:vAlign w:val="center"/>
          </w:tcPr>
          <w:p w14:paraId="299C66B0">
            <w:pPr>
              <w:spacing w:line="240" w:lineRule="auto"/>
              <w:ind w:firstLine="0" w:firstLineChars="0"/>
              <w:rPr>
                <w:sz w:val="21"/>
                <w:szCs w:val="21"/>
              </w:rPr>
            </w:pPr>
            <w:r>
              <w:rPr>
                <w:sz w:val="21"/>
                <w:szCs w:val="21"/>
              </w:rPr>
              <w:t>年产20GW单晶硅片</w:t>
            </w:r>
          </w:p>
        </w:tc>
        <w:tc>
          <w:tcPr>
            <w:tcW w:w="1388" w:type="pct"/>
            <w:vAlign w:val="center"/>
          </w:tcPr>
          <w:p w14:paraId="44399FB8">
            <w:pPr>
              <w:spacing w:line="240" w:lineRule="auto"/>
              <w:ind w:firstLine="0" w:firstLineChars="0"/>
              <w:rPr>
                <w:sz w:val="21"/>
                <w:szCs w:val="21"/>
              </w:rPr>
            </w:pPr>
            <w:r>
              <w:rPr>
                <w:sz w:val="21"/>
                <w:szCs w:val="21"/>
              </w:rPr>
              <w:t>2座切片车间、2座单晶车间</w:t>
            </w:r>
          </w:p>
        </w:tc>
        <w:tc>
          <w:tcPr>
            <w:tcW w:w="720" w:type="pct"/>
            <w:vMerge w:val="continue"/>
            <w:vAlign w:val="center"/>
          </w:tcPr>
          <w:p w14:paraId="76709830">
            <w:pPr>
              <w:widowControl/>
              <w:spacing w:line="240" w:lineRule="auto"/>
              <w:ind w:firstLine="0" w:firstLineChars="0"/>
              <w:jc w:val="left"/>
              <w:rPr>
                <w:rFonts w:eastAsia="等线"/>
                <w:sz w:val="21"/>
                <w:szCs w:val="21"/>
              </w:rPr>
            </w:pPr>
          </w:p>
        </w:tc>
      </w:tr>
      <w:tr w14:paraId="3DF8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28439055">
            <w:pPr>
              <w:widowControl/>
              <w:spacing w:line="240" w:lineRule="auto"/>
              <w:ind w:firstLine="0" w:firstLineChars="0"/>
              <w:jc w:val="left"/>
              <w:rPr>
                <w:rFonts w:eastAsia="等线"/>
                <w:sz w:val="21"/>
                <w:szCs w:val="21"/>
              </w:rPr>
            </w:pPr>
          </w:p>
        </w:tc>
        <w:tc>
          <w:tcPr>
            <w:tcW w:w="856" w:type="pct"/>
            <w:vMerge w:val="continue"/>
            <w:vAlign w:val="center"/>
          </w:tcPr>
          <w:p w14:paraId="200E6416">
            <w:pPr>
              <w:widowControl/>
              <w:spacing w:line="240" w:lineRule="auto"/>
              <w:ind w:firstLine="0" w:firstLineChars="0"/>
              <w:jc w:val="left"/>
              <w:rPr>
                <w:rFonts w:eastAsia="等线"/>
                <w:sz w:val="21"/>
                <w:szCs w:val="21"/>
              </w:rPr>
            </w:pPr>
          </w:p>
        </w:tc>
        <w:tc>
          <w:tcPr>
            <w:tcW w:w="1388" w:type="pct"/>
            <w:vAlign w:val="center"/>
          </w:tcPr>
          <w:p w14:paraId="18B4C6C2">
            <w:pPr>
              <w:spacing w:line="240" w:lineRule="auto"/>
              <w:ind w:firstLine="0" w:firstLineChars="0"/>
              <w:rPr>
                <w:sz w:val="21"/>
                <w:szCs w:val="21"/>
              </w:rPr>
            </w:pPr>
            <w:r>
              <w:rPr>
                <w:sz w:val="21"/>
                <w:szCs w:val="21"/>
              </w:rPr>
              <w:t>5GW高效光伏组件</w:t>
            </w:r>
          </w:p>
        </w:tc>
        <w:tc>
          <w:tcPr>
            <w:tcW w:w="1388" w:type="pct"/>
            <w:vAlign w:val="center"/>
          </w:tcPr>
          <w:p w14:paraId="2FC4108C">
            <w:pPr>
              <w:spacing w:line="240" w:lineRule="auto"/>
              <w:ind w:firstLine="0" w:firstLineChars="0"/>
              <w:rPr>
                <w:sz w:val="21"/>
                <w:szCs w:val="21"/>
              </w:rPr>
            </w:pPr>
            <w:r>
              <w:rPr>
                <w:sz w:val="21"/>
                <w:szCs w:val="21"/>
              </w:rPr>
              <w:t>/</w:t>
            </w:r>
          </w:p>
        </w:tc>
        <w:tc>
          <w:tcPr>
            <w:tcW w:w="720" w:type="pct"/>
            <w:vAlign w:val="center"/>
          </w:tcPr>
          <w:p w14:paraId="3689EFA2">
            <w:pPr>
              <w:spacing w:line="240" w:lineRule="auto"/>
              <w:ind w:firstLine="0" w:firstLineChars="0"/>
              <w:rPr>
                <w:sz w:val="21"/>
                <w:szCs w:val="21"/>
              </w:rPr>
            </w:pPr>
            <w:r>
              <w:rPr>
                <w:sz w:val="21"/>
                <w:szCs w:val="21"/>
              </w:rPr>
              <w:t>电气机械和器材制造业</w:t>
            </w:r>
          </w:p>
        </w:tc>
      </w:tr>
      <w:tr w14:paraId="60A8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2AA16E59">
            <w:pPr>
              <w:spacing w:line="240" w:lineRule="auto"/>
              <w:ind w:firstLine="0" w:firstLineChars="0"/>
              <w:rPr>
                <w:sz w:val="21"/>
                <w:szCs w:val="21"/>
              </w:rPr>
            </w:pPr>
            <w:r>
              <w:rPr>
                <w:sz w:val="21"/>
                <w:szCs w:val="21"/>
              </w:rPr>
              <w:t>3</w:t>
            </w:r>
          </w:p>
        </w:tc>
        <w:tc>
          <w:tcPr>
            <w:tcW w:w="856" w:type="pct"/>
            <w:vMerge w:val="restart"/>
            <w:vAlign w:val="center"/>
          </w:tcPr>
          <w:p w14:paraId="753C025C">
            <w:pPr>
              <w:spacing w:line="240" w:lineRule="auto"/>
              <w:ind w:firstLine="0" w:firstLineChars="0"/>
              <w:rPr>
                <w:sz w:val="21"/>
                <w:szCs w:val="21"/>
              </w:rPr>
            </w:pPr>
            <w:r>
              <w:rPr>
                <w:sz w:val="21"/>
                <w:szCs w:val="21"/>
              </w:rPr>
              <w:t>包头阿特斯阳光能源科技有限公司</w:t>
            </w:r>
          </w:p>
        </w:tc>
        <w:tc>
          <w:tcPr>
            <w:tcW w:w="1388" w:type="pct"/>
            <w:vAlign w:val="center"/>
          </w:tcPr>
          <w:p w14:paraId="139C7158">
            <w:pPr>
              <w:spacing w:line="240" w:lineRule="auto"/>
              <w:ind w:firstLine="0" w:firstLineChars="0"/>
              <w:rPr>
                <w:sz w:val="21"/>
                <w:szCs w:val="21"/>
              </w:rPr>
            </w:pPr>
            <w:r>
              <w:rPr>
                <w:sz w:val="21"/>
                <w:szCs w:val="21"/>
              </w:rPr>
              <w:t>年产3.0GW太阳能铸锭、切片和600MW电池组件项目</w:t>
            </w:r>
          </w:p>
        </w:tc>
        <w:tc>
          <w:tcPr>
            <w:tcW w:w="1388" w:type="pct"/>
            <w:vAlign w:val="center"/>
          </w:tcPr>
          <w:p w14:paraId="61A6C2CC">
            <w:pPr>
              <w:spacing w:line="240" w:lineRule="auto"/>
              <w:ind w:firstLine="0" w:firstLineChars="0"/>
              <w:rPr>
                <w:sz w:val="21"/>
                <w:szCs w:val="21"/>
              </w:rPr>
            </w:pPr>
            <w:r>
              <w:rPr>
                <w:sz w:val="21"/>
                <w:szCs w:val="21"/>
              </w:rPr>
              <w:t>建设多晶硅料处理车间、多晶铸锭车间、单晶直拉车间、切片车间、组件车间以及其他公用</w:t>
            </w:r>
          </w:p>
        </w:tc>
        <w:tc>
          <w:tcPr>
            <w:tcW w:w="720" w:type="pct"/>
            <w:vMerge w:val="restart"/>
            <w:vAlign w:val="center"/>
          </w:tcPr>
          <w:p w14:paraId="3B183F50">
            <w:pPr>
              <w:spacing w:line="240" w:lineRule="auto"/>
              <w:ind w:firstLine="0" w:firstLineChars="0"/>
              <w:rPr>
                <w:sz w:val="21"/>
                <w:szCs w:val="21"/>
              </w:rPr>
            </w:pPr>
            <w:r>
              <w:rPr>
                <w:sz w:val="21"/>
                <w:szCs w:val="21"/>
              </w:rPr>
              <w:t>电子元件及电子专用材料制造</w:t>
            </w:r>
          </w:p>
        </w:tc>
      </w:tr>
      <w:tr w14:paraId="6AAA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5E03DBB8">
            <w:pPr>
              <w:widowControl/>
              <w:spacing w:line="240" w:lineRule="auto"/>
              <w:ind w:firstLine="0" w:firstLineChars="0"/>
              <w:jc w:val="left"/>
              <w:rPr>
                <w:rFonts w:eastAsia="等线"/>
                <w:sz w:val="21"/>
                <w:szCs w:val="21"/>
              </w:rPr>
            </w:pPr>
          </w:p>
        </w:tc>
        <w:tc>
          <w:tcPr>
            <w:tcW w:w="856" w:type="pct"/>
            <w:vMerge w:val="continue"/>
            <w:vAlign w:val="center"/>
          </w:tcPr>
          <w:p w14:paraId="78E64EC8">
            <w:pPr>
              <w:widowControl/>
              <w:spacing w:line="240" w:lineRule="auto"/>
              <w:ind w:firstLine="0" w:firstLineChars="0"/>
              <w:jc w:val="left"/>
              <w:rPr>
                <w:rFonts w:eastAsia="等线"/>
                <w:sz w:val="21"/>
                <w:szCs w:val="21"/>
              </w:rPr>
            </w:pPr>
          </w:p>
        </w:tc>
        <w:tc>
          <w:tcPr>
            <w:tcW w:w="1388" w:type="pct"/>
            <w:vAlign w:val="center"/>
          </w:tcPr>
          <w:p w14:paraId="42DA66C7">
            <w:pPr>
              <w:spacing w:line="240" w:lineRule="auto"/>
              <w:ind w:firstLine="0" w:firstLineChars="0"/>
              <w:rPr>
                <w:sz w:val="21"/>
                <w:szCs w:val="21"/>
              </w:rPr>
            </w:pPr>
            <w:r>
              <w:rPr>
                <w:sz w:val="21"/>
                <w:szCs w:val="21"/>
              </w:rPr>
              <w:t>年产3GW单晶硅片</w:t>
            </w:r>
          </w:p>
        </w:tc>
        <w:tc>
          <w:tcPr>
            <w:tcW w:w="1388" w:type="pct"/>
            <w:vAlign w:val="center"/>
          </w:tcPr>
          <w:p w14:paraId="6BD00F8C">
            <w:pPr>
              <w:spacing w:line="240" w:lineRule="auto"/>
              <w:ind w:firstLine="0" w:firstLineChars="0"/>
              <w:rPr>
                <w:sz w:val="21"/>
                <w:szCs w:val="21"/>
              </w:rPr>
            </w:pPr>
            <w:r>
              <w:rPr>
                <w:sz w:val="21"/>
                <w:szCs w:val="21"/>
              </w:rPr>
              <w:t>新建1座202#3GW单晶方棒生产车间；改建3GW切片、单晶机加及硅料处理生产车间，扩建污水处理车间等配套工程</w:t>
            </w:r>
          </w:p>
        </w:tc>
        <w:tc>
          <w:tcPr>
            <w:tcW w:w="720" w:type="pct"/>
            <w:vMerge w:val="continue"/>
            <w:vAlign w:val="center"/>
          </w:tcPr>
          <w:p w14:paraId="59DF7D26">
            <w:pPr>
              <w:widowControl/>
              <w:spacing w:line="240" w:lineRule="auto"/>
              <w:ind w:firstLine="0" w:firstLineChars="0"/>
              <w:jc w:val="left"/>
              <w:rPr>
                <w:rFonts w:eastAsia="等线"/>
                <w:sz w:val="21"/>
                <w:szCs w:val="21"/>
              </w:rPr>
            </w:pPr>
          </w:p>
        </w:tc>
      </w:tr>
      <w:tr w14:paraId="2155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53CFFCB5">
            <w:pPr>
              <w:widowControl/>
              <w:spacing w:line="240" w:lineRule="auto"/>
              <w:ind w:firstLine="0" w:firstLineChars="0"/>
              <w:jc w:val="left"/>
              <w:rPr>
                <w:rFonts w:eastAsia="等线"/>
                <w:sz w:val="21"/>
                <w:szCs w:val="21"/>
              </w:rPr>
            </w:pPr>
          </w:p>
        </w:tc>
        <w:tc>
          <w:tcPr>
            <w:tcW w:w="856" w:type="pct"/>
            <w:vMerge w:val="continue"/>
            <w:vAlign w:val="center"/>
          </w:tcPr>
          <w:p w14:paraId="14E91C64">
            <w:pPr>
              <w:widowControl/>
              <w:spacing w:line="240" w:lineRule="auto"/>
              <w:ind w:firstLine="0" w:firstLineChars="0"/>
              <w:jc w:val="left"/>
              <w:rPr>
                <w:rFonts w:eastAsia="等线"/>
                <w:sz w:val="21"/>
                <w:szCs w:val="21"/>
              </w:rPr>
            </w:pPr>
          </w:p>
        </w:tc>
        <w:tc>
          <w:tcPr>
            <w:tcW w:w="1388" w:type="pct"/>
            <w:vAlign w:val="center"/>
          </w:tcPr>
          <w:p w14:paraId="5A1F3407">
            <w:pPr>
              <w:spacing w:line="240" w:lineRule="auto"/>
              <w:ind w:firstLine="0" w:firstLineChars="0"/>
              <w:rPr>
                <w:sz w:val="21"/>
                <w:szCs w:val="21"/>
              </w:rPr>
            </w:pPr>
            <w:r>
              <w:rPr>
                <w:sz w:val="21"/>
                <w:szCs w:val="21"/>
              </w:rPr>
              <w:t>6GW单晶及3GW切片</w:t>
            </w:r>
          </w:p>
        </w:tc>
        <w:tc>
          <w:tcPr>
            <w:tcW w:w="1388" w:type="pct"/>
            <w:vAlign w:val="center"/>
          </w:tcPr>
          <w:p w14:paraId="45AA4635">
            <w:pPr>
              <w:spacing w:line="240" w:lineRule="auto"/>
              <w:ind w:firstLine="0" w:firstLineChars="0"/>
              <w:rPr>
                <w:sz w:val="21"/>
                <w:szCs w:val="21"/>
              </w:rPr>
            </w:pPr>
            <w:r>
              <w:rPr>
                <w:sz w:val="21"/>
                <w:szCs w:val="21"/>
              </w:rPr>
              <w:t>硅料的清洗、配料，单晶硅棒的拉晶，以及截断、开方、磨面倒角等机加。</w:t>
            </w:r>
          </w:p>
        </w:tc>
        <w:tc>
          <w:tcPr>
            <w:tcW w:w="720" w:type="pct"/>
            <w:vMerge w:val="continue"/>
            <w:vAlign w:val="center"/>
          </w:tcPr>
          <w:p w14:paraId="13343D02">
            <w:pPr>
              <w:widowControl/>
              <w:spacing w:line="240" w:lineRule="auto"/>
              <w:ind w:firstLine="0" w:firstLineChars="0"/>
              <w:jc w:val="left"/>
              <w:rPr>
                <w:rFonts w:eastAsia="等线"/>
                <w:sz w:val="21"/>
                <w:szCs w:val="21"/>
              </w:rPr>
            </w:pPr>
          </w:p>
        </w:tc>
      </w:tr>
      <w:tr w14:paraId="600C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00A0219A">
            <w:pPr>
              <w:spacing w:line="240" w:lineRule="auto"/>
              <w:ind w:firstLine="0" w:firstLineChars="0"/>
              <w:rPr>
                <w:sz w:val="21"/>
                <w:szCs w:val="21"/>
              </w:rPr>
            </w:pPr>
            <w:r>
              <w:rPr>
                <w:sz w:val="21"/>
                <w:szCs w:val="21"/>
              </w:rPr>
              <w:t>4</w:t>
            </w:r>
          </w:p>
        </w:tc>
        <w:tc>
          <w:tcPr>
            <w:tcW w:w="856" w:type="pct"/>
            <w:vMerge w:val="restart"/>
            <w:vAlign w:val="center"/>
          </w:tcPr>
          <w:p w14:paraId="1ACC5904">
            <w:pPr>
              <w:spacing w:line="240" w:lineRule="auto"/>
              <w:ind w:firstLine="0" w:firstLineChars="0"/>
              <w:rPr>
                <w:sz w:val="21"/>
                <w:szCs w:val="21"/>
              </w:rPr>
            </w:pPr>
            <w:r>
              <w:rPr>
                <w:sz w:val="21"/>
                <w:szCs w:val="21"/>
              </w:rPr>
              <w:t>内蒙古杉杉科技有限公司</w:t>
            </w:r>
          </w:p>
        </w:tc>
        <w:tc>
          <w:tcPr>
            <w:tcW w:w="1388" w:type="pct"/>
            <w:vAlign w:val="center"/>
          </w:tcPr>
          <w:p w14:paraId="60DF41BB">
            <w:pPr>
              <w:spacing w:line="240" w:lineRule="auto"/>
              <w:ind w:firstLine="0" w:firstLineChars="0"/>
              <w:rPr>
                <w:sz w:val="21"/>
                <w:szCs w:val="21"/>
              </w:rPr>
            </w:pPr>
            <w:r>
              <w:rPr>
                <w:sz w:val="21"/>
                <w:szCs w:val="21"/>
              </w:rPr>
              <w:t>10万吨锂离子电池负极材料</w:t>
            </w:r>
          </w:p>
        </w:tc>
        <w:tc>
          <w:tcPr>
            <w:tcW w:w="1388" w:type="pct"/>
            <w:vAlign w:val="center"/>
          </w:tcPr>
          <w:p w14:paraId="7D41518A">
            <w:pPr>
              <w:spacing w:line="240" w:lineRule="auto"/>
              <w:ind w:firstLine="0" w:firstLineChars="0"/>
              <w:rPr>
                <w:sz w:val="21"/>
                <w:szCs w:val="21"/>
              </w:rPr>
            </w:pPr>
            <w:r>
              <w:rPr>
                <w:sz w:val="21"/>
                <w:szCs w:val="21"/>
              </w:rPr>
              <w:t>原料预处理、改性、成品预处理、成品加工、碳化等</w:t>
            </w:r>
          </w:p>
        </w:tc>
        <w:tc>
          <w:tcPr>
            <w:tcW w:w="720" w:type="pct"/>
            <w:vAlign w:val="center"/>
          </w:tcPr>
          <w:p w14:paraId="2480147B">
            <w:pPr>
              <w:spacing w:line="240" w:lineRule="auto"/>
              <w:ind w:firstLine="0" w:firstLineChars="0"/>
              <w:rPr>
                <w:sz w:val="21"/>
                <w:szCs w:val="21"/>
              </w:rPr>
            </w:pPr>
            <w:r>
              <w:rPr>
                <w:sz w:val="21"/>
                <w:szCs w:val="21"/>
              </w:rPr>
              <w:t>非金属矿物制品制造业</w:t>
            </w:r>
          </w:p>
        </w:tc>
      </w:tr>
      <w:tr w14:paraId="4015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16852B1F">
            <w:pPr>
              <w:widowControl/>
              <w:spacing w:line="240" w:lineRule="auto"/>
              <w:ind w:firstLine="0" w:firstLineChars="0"/>
              <w:jc w:val="left"/>
              <w:rPr>
                <w:rFonts w:eastAsia="等线"/>
                <w:sz w:val="21"/>
                <w:szCs w:val="21"/>
              </w:rPr>
            </w:pPr>
          </w:p>
        </w:tc>
        <w:tc>
          <w:tcPr>
            <w:tcW w:w="856" w:type="pct"/>
            <w:vMerge w:val="continue"/>
            <w:vAlign w:val="center"/>
          </w:tcPr>
          <w:p w14:paraId="3CD09FC8">
            <w:pPr>
              <w:widowControl/>
              <w:spacing w:line="240" w:lineRule="auto"/>
              <w:ind w:firstLine="0" w:firstLineChars="0"/>
              <w:jc w:val="left"/>
              <w:rPr>
                <w:rFonts w:eastAsia="等线"/>
                <w:sz w:val="21"/>
                <w:szCs w:val="21"/>
              </w:rPr>
            </w:pPr>
          </w:p>
        </w:tc>
        <w:tc>
          <w:tcPr>
            <w:tcW w:w="1388" w:type="pct"/>
            <w:vAlign w:val="center"/>
          </w:tcPr>
          <w:p w14:paraId="600FEF66">
            <w:pPr>
              <w:spacing w:line="240" w:lineRule="auto"/>
              <w:ind w:firstLine="0" w:firstLineChars="0"/>
              <w:rPr>
                <w:sz w:val="21"/>
                <w:szCs w:val="21"/>
              </w:rPr>
            </w:pPr>
            <w:r>
              <w:rPr>
                <w:sz w:val="21"/>
                <w:szCs w:val="21"/>
              </w:rPr>
              <w:t>年产2050吨硅基负极材料</w:t>
            </w:r>
          </w:p>
        </w:tc>
        <w:tc>
          <w:tcPr>
            <w:tcW w:w="1388" w:type="pct"/>
            <w:vAlign w:val="center"/>
          </w:tcPr>
          <w:p w14:paraId="35BD22ED">
            <w:pPr>
              <w:spacing w:line="240" w:lineRule="auto"/>
              <w:ind w:firstLine="0" w:firstLineChars="0"/>
              <w:rPr>
                <w:sz w:val="21"/>
                <w:szCs w:val="21"/>
              </w:rPr>
            </w:pPr>
          </w:p>
        </w:tc>
        <w:tc>
          <w:tcPr>
            <w:tcW w:w="720" w:type="pct"/>
            <w:vAlign w:val="center"/>
          </w:tcPr>
          <w:p w14:paraId="52E2A540">
            <w:pPr>
              <w:spacing w:line="240" w:lineRule="auto"/>
              <w:ind w:firstLine="0" w:firstLineChars="0"/>
              <w:rPr>
                <w:sz w:val="21"/>
                <w:szCs w:val="21"/>
              </w:rPr>
            </w:pPr>
            <w:r>
              <w:rPr>
                <w:sz w:val="21"/>
                <w:szCs w:val="21"/>
              </w:rPr>
              <w:t>电子元件及电子专用材料制造</w:t>
            </w:r>
          </w:p>
        </w:tc>
      </w:tr>
      <w:tr w14:paraId="5269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226B7922">
            <w:pPr>
              <w:widowControl/>
              <w:spacing w:line="240" w:lineRule="auto"/>
              <w:ind w:firstLine="0" w:firstLineChars="0"/>
              <w:jc w:val="left"/>
              <w:rPr>
                <w:rFonts w:eastAsia="等线"/>
                <w:sz w:val="21"/>
                <w:szCs w:val="21"/>
              </w:rPr>
            </w:pPr>
          </w:p>
        </w:tc>
        <w:tc>
          <w:tcPr>
            <w:tcW w:w="856" w:type="pct"/>
            <w:vMerge w:val="continue"/>
            <w:vAlign w:val="center"/>
          </w:tcPr>
          <w:p w14:paraId="49F9A3EA">
            <w:pPr>
              <w:widowControl/>
              <w:spacing w:line="240" w:lineRule="auto"/>
              <w:ind w:firstLine="0" w:firstLineChars="0"/>
              <w:jc w:val="left"/>
              <w:rPr>
                <w:rFonts w:eastAsia="等线"/>
                <w:sz w:val="21"/>
                <w:szCs w:val="21"/>
              </w:rPr>
            </w:pPr>
          </w:p>
        </w:tc>
        <w:tc>
          <w:tcPr>
            <w:tcW w:w="1388" w:type="pct"/>
            <w:vAlign w:val="center"/>
          </w:tcPr>
          <w:p w14:paraId="6A6860A1">
            <w:pPr>
              <w:spacing w:line="240" w:lineRule="auto"/>
              <w:ind w:firstLine="0" w:firstLineChars="0"/>
              <w:rPr>
                <w:sz w:val="21"/>
                <w:szCs w:val="21"/>
              </w:rPr>
            </w:pPr>
            <w:r>
              <w:rPr>
                <w:sz w:val="21"/>
                <w:szCs w:val="21"/>
              </w:rPr>
              <w:t>4 万吨锂离子电池负极新能源材料加工项目</w:t>
            </w:r>
          </w:p>
        </w:tc>
        <w:tc>
          <w:tcPr>
            <w:tcW w:w="1388" w:type="pct"/>
            <w:vAlign w:val="center"/>
          </w:tcPr>
          <w:p w14:paraId="4B3C528F">
            <w:pPr>
              <w:spacing w:line="240" w:lineRule="auto"/>
              <w:ind w:firstLine="0" w:firstLineChars="0"/>
              <w:rPr>
                <w:sz w:val="21"/>
                <w:szCs w:val="21"/>
              </w:rPr>
            </w:pPr>
            <w:r>
              <w:rPr>
                <w:sz w:val="21"/>
                <w:szCs w:val="21"/>
              </w:rPr>
              <w:t>生焦单颗粒的制备、煅后焦的制备、石墨化（外委）、混料、筛分、除磁和包装入库</w:t>
            </w:r>
          </w:p>
        </w:tc>
        <w:tc>
          <w:tcPr>
            <w:tcW w:w="720" w:type="pct"/>
            <w:vAlign w:val="center"/>
          </w:tcPr>
          <w:p w14:paraId="7AFFF34F">
            <w:pPr>
              <w:spacing w:line="240" w:lineRule="auto"/>
              <w:ind w:firstLine="0" w:firstLineChars="0"/>
              <w:rPr>
                <w:sz w:val="21"/>
                <w:szCs w:val="21"/>
              </w:rPr>
            </w:pPr>
            <w:r>
              <w:rPr>
                <w:sz w:val="21"/>
                <w:szCs w:val="21"/>
              </w:rPr>
              <w:t>非金属矿物制品业</w:t>
            </w:r>
          </w:p>
        </w:tc>
      </w:tr>
      <w:tr w14:paraId="17B6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D89BE66">
            <w:pPr>
              <w:spacing w:line="240" w:lineRule="auto"/>
              <w:ind w:firstLine="0" w:firstLineChars="0"/>
              <w:rPr>
                <w:sz w:val="21"/>
                <w:szCs w:val="21"/>
              </w:rPr>
            </w:pPr>
            <w:r>
              <w:rPr>
                <w:sz w:val="21"/>
                <w:szCs w:val="21"/>
              </w:rPr>
              <w:t>5</w:t>
            </w:r>
          </w:p>
        </w:tc>
        <w:tc>
          <w:tcPr>
            <w:tcW w:w="856" w:type="pct"/>
            <w:vAlign w:val="center"/>
          </w:tcPr>
          <w:p w14:paraId="540E7FC5">
            <w:pPr>
              <w:spacing w:line="240" w:lineRule="auto"/>
              <w:ind w:firstLine="0" w:firstLineChars="0"/>
              <w:rPr>
                <w:sz w:val="21"/>
                <w:szCs w:val="21"/>
              </w:rPr>
            </w:pPr>
            <w:r>
              <w:rPr>
                <w:sz w:val="21"/>
                <w:szCs w:val="21"/>
              </w:rPr>
              <w:t>包头晶旭碳碳科技有限公司</w:t>
            </w:r>
          </w:p>
        </w:tc>
        <w:tc>
          <w:tcPr>
            <w:tcW w:w="1388" w:type="pct"/>
            <w:vAlign w:val="center"/>
          </w:tcPr>
          <w:p w14:paraId="2851BE03">
            <w:pPr>
              <w:spacing w:line="240" w:lineRule="auto"/>
              <w:ind w:firstLine="0" w:firstLineChars="0"/>
              <w:rPr>
                <w:sz w:val="21"/>
                <w:szCs w:val="21"/>
              </w:rPr>
            </w:pPr>
            <w:r>
              <w:rPr>
                <w:sz w:val="21"/>
                <w:szCs w:val="21"/>
              </w:rPr>
              <w:t>年加工100吨碳/碳复合材料及制品</w:t>
            </w:r>
          </w:p>
        </w:tc>
        <w:tc>
          <w:tcPr>
            <w:tcW w:w="1388" w:type="pct"/>
            <w:vAlign w:val="center"/>
          </w:tcPr>
          <w:p w14:paraId="4DA06A15">
            <w:pPr>
              <w:spacing w:line="240" w:lineRule="auto"/>
              <w:ind w:firstLine="0" w:firstLineChars="0"/>
              <w:rPr>
                <w:sz w:val="21"/>
                <w:szCs w:val="21"/>
              </w:rPr>
            </w:pPr>
            <w:r>
              <w:rPr>
                <w:sz w:val="21"/>
                <w:szCs w:val="21"/>
              </w:rPr>
              <w:t>数控车床、石材雕刻机、真空泵、石墨化炉，液化天然气罐，液化氮气罐、除尘设备、废气直燃焚烧炉、安全检测系统等共计177台</w:t>
            </w:r>
          </w:p>
        </w:tc>
        <w:tc>
          <w:tcPr>
            <w:tcW w:w="720" w:type="pct"/>
            <w:vAlign w:val="center"/>
          </w:tcPr>
          <w:p w14:paraId="6597EA51">
            <w:pPr>
              <w:spacing w:line="240" w:lineRule="auto"/>
              <w:ind w:firstLine="0" w:firstLineChars="0"/>
              <w:rPr>
                <w:sz w:val="21"/>
                <w:szCs w:val="21"/>
              </w:rPr>
            </w:pPr>
            <w:r>
              <w:rPr>
                <w:sz w:val="21"/>
                <w:szCs w:val="21"/>
              </w:rPr>
              <w:t>非金属矿物制品制造业</w:t>
            </w:r>
          </w:p>
        </w:tc>
      </w:tr>
      <w:tr w14:paraId="494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7EB5866">
            <w:pPr>
              <w:spacing w:line="240" w:lineRule="auto"/>
              <w:ind w:firstLine="0" w:firstLineChars="0"/>
              <w:rPr>
                <w:sz w:val="21"/>
                <w:szCs w:val="21"/>
              </w:rPr>
            </w:pPr>
            <w:r>
              <w:rPr>
                <w:sz w:val="21"/>
                <w:szCs w:val="21"/>
              </w:rPr>
              <w:t>6</w:t>
            </w:r>
          </w:p>
        </w:tc>
        <w:tc>
          <w:tcPr>
            <w:tcW w:w="856" w:type="pct"/>
            <w:vAlign w:val="center"/>
          </w:tcPr>
          <w:p w14:paraId="1B070BC2">
            <w:pPr>
              <w:spacing w:line="240" w:lineRule="auto"/>
              <w:ind w:firstLine="0" w:firstLineChars="0"/>
              <w:rPr>
                <w:sz w:val="21"/>
                <w:szCs w:val="21"/>
              </w:rPr>
            </w:pPr>
            <w:r>
              <w:rPr>
                <w:sz w:val="21"/>
                <w:szCs w:val="21"/>
              </w:rPr>
              <w:t>内蒙古一机集团力克橡塑制品有限公司</w:t>
            </w:r>
          </w:p>
        </w:tc>
        <w:tc>
          <w:tcPr>
            <w:tcW w:w="1388" w:type="pct"/>
            <w:vAlign w:val="center"/>
          </w:tcPr>
          <w:p w14:paraId="4045EB55">
            <w:pPr>
              <w:spacing w:line="240" w:lineRule="auto"/>
              <w:ind w:firstLine="0" w:firstLineChars="0"/>
              <w:rPr>
                <w:sz w:val="21"/>
                <w:szCs w:val="21"/>
              </w:rPr>
            </w:pPr>
            <w:r>
              <w:rPr>
                <w:sz w:val="21"/>
                <w:szCs w:val="21"/>
              </w:rPr>
              <w:t>年产橡胶弹性元件370万件，推力杆装配60万套</w:t>
            </w:r>
          </w:p>
        </w:tc>
        <w:tc>
          <w:tcPr>
            <w:tcW w:w="1388" w:type="pct"/>
            <w:vAlign w:val="center"/>
          </w:tcPr>
          <w:p w14:paraId="2615B354">
            <w:pPr>
              <w:spacing w:line="240" w:lineRule="auto"/>
              <w:ind w:firstLine="0" w:firstLineChars="0"/>
              <w:rPr>
                <w:sz w:val="21"/>
                <w:szCs w:val="21"/>
              </w:rPr>
            </w:pPr>
            <w:r>
              <w:rPr>
                <w:sz w:val="21"/>
                <w:szCs w:val="21"/>
              </w:rPr>
              <w:t>脱脂、水洗、抛丸、涂胶、橡胶回炼、硫化、喷漆、烘干等，产品包括金属部分和橡胶部分，经装配生产产品</w:t>
            </w:r>
          </w:p>
        </w:tc>
        <w:tc>
          <w:tcPr>
            <w:tcW w:w="720" w:type="pct"/>
            <w:vAlign w:val="center"/>
          </w:tcPr>
          <w:p w14:paraId="638DA1C1">
            <w:pPr>
              <w:spacing w:line="240" w:lineRule="auto"/>
              <w:ind w:firstLine="0" w:firstLineChars="0"/>
              <w:rPr>
                <w:sz w:val="21"/>
                <w:szCs w:val="21"/>
              </w:rPr>
            </w:pPr>
            <w:r>
              <w:rPr>
                <w:sz w:val="21"/>
                <w:szCs w:val="21"/>
              </w:rPr>
              <w:t>橡胶和塑料制品业</w:t>
            </w:r>
          </w:p>
        </w:tc>
      </w:tr>
      <w:tr w14:paraId="26F8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54F9836">
            <w:pPr>
              <w:spacing w:line="240" w:lineRule="auto"/>
              <w:ind w:firstLine="0" w:firstLineChars="0"/>
              <w:rPr>
                <w:sz w:val="21"/>
                <w:szCs w:val="21"/>
              </w:rPr>
            </w:pPr>
            <w:r>
              <w:rPr>
                <w:sz w:val="21"/>
                <w:szCs w:val="21"/>
              </w:rPr>
              <w:t>7</w:t>
            </w:r>
          </w:p>
        </w:tc>
        <w:tc>
          <w:tcPr>
            <w:tcW w:w="856" w:type="pct"/>
            <w:vAlign w:val="center"/>
          </w:tcPr>
          <w:p w14:paraId="4C30305A">
            <w:pPr>
              <w:spacing w:line="240" w:lineRule="auto"/>
              <w:ind w:firstLine="0" w:firstLineChars="0"/>
              <w:rPr>
                <w:sz w:val="21"/>
                <w:szCs w:val="21"/>
              </w:rPr>
            </w:pPr>
            <w:r>
              <w:rPr>
                <w:sz w:val="21"/>
                <w:szCs w:val="21"/>
              </w:rPr>
              <w:t>内蒙古一机集团大地石油机械有限责任公司</w:t>
            </w:r>
          </w:p>
        </w:tc>
        <w:tc>
          <w:tcPr>
            <w:tcW w:w="1388" w:type="pct"/>
            <w:vAlign w:val="center"/>
          </w:tcPr>
          <w:p w14:paraId="0E1B26DE">
            <w:pPr>
              <w:spacing w:line="240" w:lineRule="auto"/>
              <w:ind w:firstLine="0" w:firstLineChars="0"/>
              <w:rPr>
                <w:sz w:val="21"/>
                <w:szCs w:val="21"/>
              </w:rPr>
            </w:pPr>
            <w:r>
              <w:rPr>
                <w:sz w:val="21"/>
                <w:szCs w:val="21"/>
              </w:rPr>
              <w:t>年产60万根抽油杆、油套管及接箍产品3万吨</w:t>
            </w:r>
          </w:p>
        </w:tc>
        <w:tc>
          <w:tcPr>
            <w:tcW w:w="1388" w:type="pct"/>
            <w:vAlign w:val="center"/>
          </w:tcPr>
          <w:p w14:paraId="6189F7A0">
            <w:pPr>
              <w:spacing w:line="240" w:lineRule="auto"/>
              <w:ind w:firstLine="0" w:firstLineChars="0"/>
              <w:rPr>
                <w:sz w:val="21"/>
                <w:szCs w:val="21"/>
              </w:rPr>
            </w:pPr>
            <w:r>
              <w:rPr>
                <w:sz w:val="21"/>
                <w:szCs w:val="21"/>
              </w:rPr>
              <w:t>淋漆、抛丸、机加</w:t>
            </w:r>
          </w:p>
        </w:tc>
        <w:tc>
          <w:tcPr>
            <w:tcW w:w="720" w:type="pct"/>
            <w:vAlign w:val="center"/>
          </w:tcPr>
          <w:p w14:paraId="222C7018">
            <w:pPr>
              <w:spacing w:line="240" w:lineRule="auto"/>
              <w:ind w:firstLine="0" w:firstLineChars="0"/>
              <w:rPr>
                <w:sz w:val="21"/>
                <w:szCs w:val="21"/>
              </w:rPr>
            </w:pPr>
            <w:r>
              <w:rPr>
                <w:sz w:val="21"/>
                <w:szCs w:val="21"/>
              </w:rPr>
              <w:t>专用设备制造业</w:t>
            </w:r>
          </w:p>
        </w:tc>
      </w:tr>
      <w:tr w14:paraId="0744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FE61E77">
            <w:pPr>
              <w:spacing w:line="240" w:lineRule="auto"/>
              <w:ind w:firstLine="0" w:firstLineChars="0"/>
              <w:rPr>
                <w:sz w:val="21"/>
                <w:szCs w:val="21"/>
              </w:rPr>
            </w:pPr>
            <w:r>
              <w:rPr>
                <w:sz w:val="21"/>
                <w:szCs w:val="21"/>
              </w:rPr>
              <w:t>8</w:t>
            </w:r>
          </w:p>
        </w:tc>
        <w:tc>
          <w:tcPr>
            <w:tcW w:w="856" w:type="pct"/>
            <w:vAlign w:val="center"/>
          </w:tcPr>
          <w:p w14:paraId="387540C5">
            <w:pPr>
              <w:spacing w:line="240" w:lineRule="auto"/>
              <w:ind w:firstLine="0" w:firstLineChars="0"/>
              <w:rPr>
                <w:sz w:val="21"/>
                <w:szCs w:val="21"/>
              </w:rPr>
            </w:pPr>
            <w:r>
              <w:rPr>
                <w:sz w:val="21"/>
                <w:szCs w:val="21"/>
              </w:rPr>
              <w:t>内蒙古一机集团林峰特种铸造有限公司</w:t>
            </w:r>
          </w:p>
        </w:tc>
        <w:tc>
          <w:tcPr>
            <w:tcW w:w="1388" w:type="pct"/>
            <w:vAlign w:val="center"/>
          </w:tcPr>
          <w:p w14:paraId="4AFFED46">
            <w:pPr>
              <w:spacing w:line="240" w:lineRule="auto"/>
              <w:ind w:firstLine="0" w:firstLineChars="0"/>
              <w:rPr>
                <w:sz w:val="21"/>
                <w:szCs w:val="21"/>
              </w:rPr>
            </w:pPr>
            <w:r>
              <w:rPr>
                <w:sz w:val="21"/>
                <w:szCs w:val="21"/>
              </w:rPr>
              <w:t>年产铝合金铸件4100吨</w:t>
            </w:r>
          </w:p>
        </w:tc>
        <w:tc>
          <w:tcPr>
            <w:tcW w:w="1388" w:type="pct"/>
            <w:vAlign w:val="center"/>
          </w:tcPr>
          <w:p w14:paraId="750DE02B">
            <w:pPr>
              <w:spacing w:line="240" w:lineRule="auto"/>
              <w:ind w:firstLine="0" w:firstLineChars="0"/>
              <w:rPr>
                <w:sz w:val="21"/>
                <w:szCs w:val="21"/>
              </w:rPr>
            </w:pPr>
            <w:r>
              <w:rPr>
                <w:sz w:val="21"/>
                <w:szCs w:val="21"/>
              </w:rPr>
              <w:t>以铝合金锭、铝锭、镁锭、硅锭等为原料，经熔化、砂型铸造、热处理、抛丸、焊接即成产品，无喷漆工序</w:t>
            </w:r>
          </w:p>
        </w:tc>
        <w:tc>
          <w:tcPr>
            <w:tcW w:w="720" w:type="pct"/>
            <w:vAlign w:val="center"/>
          </w:tcPr>
          <w:p w14:paraId="136E81C6">
            <w:pPr>
              <w:spacing w:line="240" w:lineRule="auto"/>
              <w:ind w:firstLine="0" w:firstLineChars="0"/>
              <w:rPr>
                <w:sz w:val="21"/>
                <w:szCs w:val="21"/>
              </w:rPr>
            </w:pPr>
            <w:r>
              <w:rPr>
                <w:sz w:val="21"/>
                <w:szCs w:val="21"/>
              </w:rPr>
              <w:t>金属制品业</w:t>
            </w:r>
          </w:p>
        </w:tc>
      </w:tr>
      <w:tr w14:paraId="49B7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444A219">
            <w:pPr>
              <w:spacing w:line="240" w:lineRule="auto"/>
              <w:ind w:firstLine="0" w:firstLineChars="0"/>
              <w:rPr>
                <w:sz w:val="21"/>
                <w:szCs w:val="21"/>
              </w:rPr>
            </w:pPr>
            <w:r>
              <w:rPr>
                <w:sz w:val="21"/>
                <w:szCs w:val="21"/>
              </w:rPr>
              <w:t>9</w:t>
            </w:r>
          </w:p>
        </w:tc>
        <w:tc>
          <w:tcPr>
            <w:tcW w:w="856" w:type="pct"/>
            <w:vAlign w:val="center"/>
          </w:tcPr>
          <w:p w14:paraId="496F94A1">
            <w:pPr>
              <w:spacing w:line="240" w:lineRule="auto"/>
              <w:ind w:firstLine="0" w:firstLineChars="0"/>
              <w:rPr>
                <w:sz w:val="21"/>
                <w:szCs w:val="21"/>
              </w:rPr>
            </w:pPr>
            <w:r>
              <w:rPr>
                <w:sz w:val="21"/>
                <w:szCs w:val="21"/>
              </w:rPr>
              <w:t>包头北方嘉瑞防务科技有限公司</w:t>
            </w:r>
          </w:p>
        </w:tc>
        <w:tc>
          <w:tcPr>
            <w:tcW w:w="1388" w:type="pct"/>
            <w:vAlign w:val="center"/>
          </w:tcPr>
          <w:p w14:paraId="5EF46984">
            <w:pPr>
              <w:spacing w:line="240" w:lineRule="auto"/>
              <w:ind w:firstLine="0" w:firstLineChars="0"/>
              <w:rPr>
                <w:sz w:val="21"/>
                <w:szCs w:val="21"/>
              </w:rPr>
            </w:pPr>
            <w:r>
              <w:rPr>
                <w:sz w:val="21"/>
                <w:szCs w:val="21"/>
              </w:rPr>
              <w:t>年产超高分子量聚乙烯防护产品2000吨</w:t>
            </w:r>
          </w:p>
        </w:tc>
        <w:tc>
          <w:tcPr>
            <w:tcW w:w="1388" w:type="pct"/>
            <w:vAlign w:val="center"/>
          </w:tcPr>
          <w:p w14:paraId="4F7A6A6B">
            <w:pPr>
              <w:spacing w:line="240" w:lineRule="auto"/>
              <w:ind w:firstLine="0" w:firstLineChars="0"/>
              <w:rPr>
                <w:sz w:val="21"/>
                <w:szCs w:val="21"/>
              </w:rPr>
            </w:pPr>
            <w:r>
              <w:rPr>
                <w:sz w:val="21"/>
                <w:szCs w:val="21"/>
              </w:rPr>
              <w:t>复合工序、分切卷绕工序、热压工序、喷涂工序、检验分装工序等生产工艺</w:t>
            </w:r>
          </w:p>
        </w:tc>
        <w:tc>
          <w:tcPr>
            <w:tcW w:w="720" w:type="pct"/>
            <w:vAlign w:val="center"/>
          </w:tcPr>
          <w:p w14:paraId="4D4571F8">
            <w:pPr>
              <w:spacing w:line="240" w:lineRule="auto"/>
              <w:ind w:firstLine="0" w:firstLineChars="0"/>
              <w:rPr>
                <w:sz w:val="21"/>
                <w:szCs w:val="21"/>
              </w:rPr>
            </w:pPr>
            <w:r>
              <w:rPr>
                <w:sz w:val="21"/>
                <w:szCs w:val="21"/>
              </w:rPr>
              <w:t>橡胶和塑料制品业</w:t>
            </w:r>
          </w:p>
        </w:tc>
      </w:tr>
      <w:tr w14:paraId="5272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77479D6">
            <w:pPr>
              <w:spacing w:line="240" w:lineRule="auto"/>
              <w:ind w:firstLine="0" w:firstLineChars="0"/>
              <w:rPr>
                <w:sz w:val="21"/>
                <w:szCs w:val="21"/>
              </w:rPr>
            </w:pPr>
            <w:r>
              <w:rPr>
                <w:sz w:val="21"/>
                <w:szCs w:val="21"/>
              </w:rPr>
              <w:t>10</w:t>
            </w:r>
          </w:p>
        </w:tc>
        <w:tc>
          <w:tcPr>
            <w:tcW w:w="856" w:type="pct"/>
            <w:vAlign w:val="center"/>
          </w:tcPr>
          <w:p w14:paraId="4BD1D1DE">
            <w:pPr>
              <w:spacing w:line="240" w:lineRule="auto"/>
              <w:ind w:firstLine="0" w:firstLineChars="0"/>
              <w:rPr>
                <w:sz w:val="21"/>
                <w:szCs w:val="21"/>
              </w:rPr>
            </w:pPr>
            <w:r>
              <w:rPr>
                <w:sz w:val="21"/>
                <w:szCs w:val="21"/>
              </w:rPr>
              <w:t>内蒙古杭萧钢构有限公司</w:t>
            </w:r>
          </w:p>
        </w:tc>
        <w:tc>
          <w:tcPr>
            <w:tcW w:w="1388" w:type="pct"/>
            <w:vAlign w:val="center"/>
          </w:tcPr>
          <w:p w14:paraId="01326BF0">
            <w:pPr>
              <w:spacing w:line="240" w:lineRule="auto"/>
              <w:ind w:firstLine="0" w:firstLineChars="0"/>
              <w:rPr>
                <w:sz w:val="21"/>
                <w:szCs w:val="21"/>
              </w:rPr>
            </w:pPr>
            <w:r>
              <w:rPr>
                <w:sz w:val="21"/>
                <w:szCs w:val="21"/>
              </w:rPr>
              <w:t>年产钢结构6万吨、CCA复合墙板等围护结构20万平方米</w:t>
            </w:r>
          </w:p>
        </w:tc>
        <w:tc>
          <w:tcPr>
            <w:tcW w:w="1388" w:type="pct"/>
            <w:vAlign w:val="center"/>
          </w:tcPr>
          <w:p w14:paraId="1D5E53AC">
            <w:pPr>
              <w:spacing w:line="240" w:lineRule="auto"/>
              <w:ind w:firstLine="0" w:firstLineChars="0"/>
              <w:rPr>
                <w:sz w:val="21"/>
                <w:szCs w:val="21"/>
              </w:rPr>
            </w:pPr>
            <w:r>
              <w:rPr>
                <w:sz w:val="21"/>
                <w:szCs w:val="21"/>
              </w:rPr>
              <w:t>数控直条切割机、埋弧焊、液压校正机、抛丸机等</w:t>
            </w:r>
          </w:p>
        </w:tc>
        <w:tc>
          <w:tcPr>
            <w:tcW w:w="720" w:type="pct"/>
            <w:vAlign w:val="center"/>
          </w:tcPr>
          <w:p w14:paraId="243ED442">
            <w:pPr>
              <w:spacing w:line="240" w:lineRule="auto"/>
              <w:ind w:firstLine="0" w:firstLineChars="0"/>
              <w:rPr>
                <w:sz w:val="21"/>
                <w:szCs w:val="21"/>
              </w:rPr>
            </w:pPr>
            <w:r>
              <w:rPr>
                <w:sz w:val="21"/>
                <w:szCs w:val="21"/>
              </w:rPr>
              <w:t>金属制品业</w:t>
            </w:r>
          </w:p>
        </w:tc>
      </w:tr>
      <w:tr w14:paraId="75793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209ED1B">
            <w:pPr>
              <w:spacing w:line="240" w:lineRule="auto"/>
              <w:ind w:firstLine="0" w:firstLineChars="0"/>
              <w:rPr>
                <w:sz w:val="21"/>
                <w:szCs w:val="21"/>
              </w:rPr>
            </w:pPr>
            <w:r>
              <w:rPr>
                <w:sz w:val="21"/>
                <w:szCs w:val="21"/>
              </w:rPr>
              <w:t>11</w:t>
            </w:r>
          </w:p>
        </w:tc>
        <w:tc>
          <w:tcPr>
            <w:tcW w:w="856" w:type="pct"/>
            <w:vAlign w:val="center"/>
          </w:tcPr>
          <w:p w14:paraId="4A61C25A">
            <w:pPr>
              <w:spacing w:line="240" w:lineRule="auto"/>
              <w:ind w:firstLine="0" w:firstLineChars="0"/>
              <w:rPr>
                <w:sz w:val="21"/>
                <w:szCs w:val="21"/>
              </w:rPr>
            </w:pPr>
            <w:r>
              <w:rPr>
                <w:sz w:val="21"/>
                <w:szCs w:val="21"/>
              </w:rPr>
              <w:t>包头市气瓶检验检测及产品制造监督检验中心</w:t>
            </w:r>
          </w:p>
        </w:tc>
        <w:tc>
          <w:tcPr>
            <w:tcW w:w="1388" w:type="pct"/>
            <w:vAlign w:val="center"/>
          </w:tcPr>
          <w:p w14:paraId="73CEC25F">
            <w:pPr>
              <w:spacing w:line="240" w:lineRule="auto"/>
              <w:ind w:firstLine="0" w:firstLineChars="0"/>
              <w:rPr>
                <w:sz w:val="21"/>
                <w:szCs w:val="21"/>
              </w:rPr>
            </w:pPr>
            <w:r>
              <w:rPr>
                <w:sz w:val="21"/>
                <w:szCs w:val="21"/>
              </w:rPr>
              <w:t>年检验各类气瓶 15 万只（包括：液化石油气瓶、溶解乙炔气瓶、钢质焊接气瓶）。</w:t>
            </w:r>
          </w:p>
        </w:tc>
        <w:tc>
          <w:tcPr>
            <w:tcW w:w="1388" w:type="pct"/>
            <w:vAlign w:val="center"/>
          </w:tcPr>
          <w:p w14:paraId="05FBDD46">
            <w:pPr>
              <w:spacing w:line="240" w:lineRule="auto"/>
              <w:ind w:firstLine="0" w:firstLineChars="0"/>
              <w:rPr>
                <w:sz w:val="21"/>
                <w:szCs w:val="21"/>
              </w:rPr>
            </w:pPr>
            <w:r>
              <w:rPr>
                <w:sz w:val="21"/>
                <w:szCs w:val="21"/>
              </w:rPr>
              <w:t>2 条气瓶检验生产线</w:t>
            </w:r>
          </w:p>
        </w:tc>
        <w:tc>
          <w:tcPr>
            <w:tcW w:w="720" w:type="pct"/>
            <w:vAlign w:val="center"/>
          </w:tcPr>
          <w:p w14:paraId="6C9C0459">
            <w:pPr>
              <w:spacing w:line="240" w:lineRule="auto"/>
              <w:ind w:firstLine="0" w:firstLineChars="0"/>
              <w:rPr>
                <w:sz w:val="21"/>
                <w:szCs w:val="21"/>
              </w:rPr>
            </w:pPr>
            <w:r>
              <w:rPr>
                <w:sz w:val="21"/>
                <w:szCs w:val="21"/>
              </w:rPr>
              <w:t>社会事业与服务业</w:t>
            </w:r>
          </w:p>
        </w:tc>
      </w:tr>
      <w:tr w14:paraId="22FA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E6BF978">
            <w:pPr>
              <w:spacing w:line="240" w:lineRule="auto"/>
              <w:ind w:firstLine="0" w:firstLineChars="0"/>
              <w:rPr>
                <w:sz w:val="21"/>
                <w:szCs w:val="21"/>
              </w:rPr>
            </w:pPr>
            <w:r>
              <w:rPr>
                <w:sz w:val="21"/>
                <w:szCs w:val="21"/>
              </w:rPr>
              <w:t>12</w:t>
            </w:r>
          </w:p>
        </w:tc>
        <w:tc>
          <w:tcPr>
            <w:tcW w:w="856" w:type="pct"/>
            <w:vAlign w:val="center"/>
          </w:tcPr>
          <w:p w14:paraId="6B729AC0">
            <w:pPr>
              <w:spacing w:line="240" w:lineRule="auto"/>
              <w:ind w:firstLine="0" w:firstLineChars="0"/>
              <w:rPr>
                <w:sz w:val="21"/>
                <w:szCs w:val="21"/>
              </w:rPr>
            </w:pPr>
            <w:r>
              <w:rPr>
                <w:sz w:val="21"/>
                <w:szCs w:val="21"/>
              </w:rPr>
              <w:t>包头市天盛重工有限公司</w:t>
            </w:r>
          </w:p>
        </w:tc>
        <w:tc>
          <w:tcPr>
            <w:tcW w:w="1388" w:type="pct"/>
            <w:vAlign w:val="center"/>
          </w:tcPr>
          <w:p w14:paraId="0BA79BC5">
            <w:pPr>
              <w:spacing w:line="240" w:lineRule="auto"/>
              <w:ind w:firstLine="0" w:firstLineChars="0"/>
              <w:rPr>
                <w:sz w:val="21"/>
                <w:szCs w:val="21"/>
              </w:rPr>
            </w:pPr>
            <w:r>
              <w:rPr>
                <w:sz w:val="21"/>
                <w:szCs w:val="21"/>
              </w:rPr>
              <w:t>年产LNG环保型同力非公路自卸车1000台</w:t>
            </w:r>
          </w:p>
        </w:tc>
        <w:tc>
          <w:tcPr>
            <w:tcW w:w="1388" w:type="pct"/>
            <w:vAlign w:val="center"/>
          </w:tcPr>
          <w:p w14:paraId="6FA497C7">
            <w:pPr>
              <w:spacing w:line="240" w:lineRule="auto"/>
              <w:ind w:firstLine="0" w:firstLineChars="0"/>
              <w:rPr>
                <w:sz w:val="21"/>
                <w:szCs w:val="21"/>
              </w:rPr>
            </w:pPr>
            <w:r>
              <w:rPr>
                <w:sz w:val="21"/>
                <w:szCs w:val="21"/>
              </w:rPr>
              <w:t>以钢材为原料，经机加工、喷漆、焊接生产箱体框架，与外购二类底盘装配即成产品</w:t>
            </w:r>
          </w:p>
        </w:tc>
        <w:tc>
          <w:tcPr>
            <w:tcW w:w="720" w:type="pct"/>
            <w:vAlign w:val="center"/>
          </w:tcPr>
          <w:p w14:paraId="527C83CF">
            <w:pPr>
              <w:spacing w:line="240" w:lineRule="auto"/>
              <w:ind w:firstLine="0" w:firstLineChars="0"/>
              <w:rPr>
                <w:sz w:val="21"/>
                <w:szCs w:val="21"/>
              </w:rPr>
            </w:pPr>
            <w:r>
              <w:rPr>
                <w:sz w:val="21"/>
                <w:szCs w:val="21"/>
              </w:rPr>
              <w:t>汽车制造业</w:t>
            </w:r>
          </w:p>
        </w:tc>
      </w:tr>
      <w:tr w14:paraId="4501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9D4AAB2">
            <w:pPr>
              <w:spacing w:line="240" w:lineRule="auto"/>
              <w:ind w:firstLine="0" w:firstLineChars="0"/>
              <w:rPr>
                <w:sz w:val="21"/>
                <w:szCs w:val="21"/>
              </w:rPr>
            </w:pPr>
            <w:r>
              <w:rPr>
                <w:sz w:val="21"/>
                <w:szCs w:val="21"/>
              </w:rPr>
              <w:t>13</w:t>
            </w:r>
          </w:p>
        </w:tc>
        <w:tc>
          <w:tcPr>
            <w:tcW w:w="856" w:type="pct"/>
            <w:vAlign w:val="center"/>
          </w:tcPr>
          <w:p w14:paraId="4B692E3F">
            <w:pPr>
              <w:spacing w:line="240" w:lineRule="auto"/>
              <w:ind w:firstLine="0" w:firstLineChars="0"/>
              <w:rPr>
                <w:sz w:val="21"/>
                <w:szCs w:val="21"/>
              </w:rPr>
            </w:pPr>
            <w:r>
              <w:rPr>
                <w:sz w:val="21"/>
                <w:szCs w:val="21"/>
              </w:rPr>
              <w:t>内蒙古旭宸能源有限公司</w:t>
            </w:r>
          </w:p>
        </w:tc>
        <w:tc>
          <w:tcPr>
            <w:tcW w:w="1388" w:type="pct"/>
            <w:vAlign w:val="center"/>
          </w:tcPr>
          <w:p w14:paraId="3A0A1282">
            <w:pPr>
              <w:spacing w:line="240" w:lineRule="auto"/>
              <w:ind w:firstLine="0" w:firstLineChars="0"/>
              <w:rPr>
                <w:sz w:val="21"/>
                <w:szCs w:val="21"/>
              </w:rPr>
            </w:pPr>
            <w:r>
              <w:rPr>
                <w:sz w:val="21"/>
                <w:szCs w:val="21"/>
              </w:rPr>
              <w:t>年产140万平方米反射镜、20万支集热管</w:t>
            </w:r>
          </w:p>
        </w:tc>
        <w:tc>
          <w:tcPr>
            <w:tcW w:w="1388" w:type="pct"/>
            <w:vAlign w:val="center"/>
          </w:tcPr>
          <w:p w14:paraId="0655F25F">
            <w:pPr>
              <w:spacing w:line="240" w:lineRule="auto"/>
              <w:ind w:firstLine="0" w:firstLineChars="0"/>
              <w:rPr>
                <w:sz w:val="21"/>
                <w:szCs w:val="21"/>
              </w:rPr>
            </w:pPr>
            <w:r>
              <w:rPr>
                <w:sz w:val="21"/>
                <w:szCs w:val="21"/>
              </w:rPr>
              <w:t>建设年产70万平真空磁控溅射镀膜曲面反射镜全智能生产线2条和年产20万支金属直通式真空集热管智能生产线1条</w:t>
            </w:r>
          </w:p>
        </w:tc>
        <w:tc>
          <w:tcPr>
            <w:tcW w:w="720" w:type="pct"/>
            <w:vAlign w:val="center"/>
          </w:tcPr>
          <w:p w14:paraId="6063F97C">
            <w:pPr>
              <w:spacing w:line="240" w:lineRule="auto"/>
              <w:ind w:firstLine="0" w:firstLineChars="0"/>
              <w:rPr>
                <w:sz w:val="21"/>
                <w:szCs w:val="21"/>
              </w:rPr>
            </w:pPr>
            <w:r>
              <w:rPr>
                <w:sz w:val="21"/>
                <w:szCs w:val="21"/>
              </w:rPr>
              <w:t>电气机械和器材制造业</w:t>
            </w:r>
          </w:p>
        </w:tc>
      </w:tr>
      <w:tr w14:paraId="2DF8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BA3E1B7">
            <w:pPr>
              <w:spacing w:line="240" w:lineRule="auto"/>
              <w:ind w:firstLine="0" w:firstLineChars="0"/>
              <w:rPr>
                <w:sz w:val="21"/>
                <w:szCs w:val="21"/>
              </w:rPr>
            </w:pPr>
            <w:r>
              <w:rPr>
                <w:sz w:val="21"/>
                <w:szCs w:val="21"/>
              </w:rPr>
              <w:t>14</w:t>
            </w:r>
          </w:p>
        </w:tc>
        <w:tc>
          <w:tcPr>
            <w:tcW w:w="856" w:type="pct"/>
            <w:vAlign w:val="center"/>
          </w:tcPr>
          <w:p w14:paraId="5B920BF4">
            <w:pPr>
              <w:spacing w:line="240" w:lineRule="auto"/>
              <w:ind w:firstLine="0" w:firstLineChars="0"/>
              <w:rPr>
                <w:sz w:val="21"/>
                <w:szCs w:val="21"/>
              </w:rPr>
            </w:pPr>
            <w:r>
              <w:rPr>
                <w:sz w:val="21"/>
                <w:szCs w:val="21"/>
              </w:rPr>
              <w:t>包头市开升稀土镁合金科技有限公司</w:t>
            </w:r>
          </w:p>
        </w:tc>
        <w:tc>
          <w:tcPr>
            <w:tcW w:w="1388" w:type="pct"/>
            <w:vAlign w:val="center"/>
          </w:tcPr>
          <w:p w14:paraId="43350F14">
            <w:pPr>
              <w:spacing w:line="240" w:lineRule="auto"/>
              <w:ind w:firstLine="0" w:firstLineChars="0"/>
              <w:rPr>
                <w:sz w:val="21"/>
                <w:szCs w:val="21"/>
              </w:rPr>
            </w:pPr>
            <w:r>
              <w:rPr>
                <w:sz w:val="21"/>
                <w:szCs w:val="21"/>
              </w:rPr>
              <w:t>年产10万吨镁合金压铸件</w:t>
            </w:r>
          </w:p>
        </w:tc>
        <w:tc>
          <w:tcPr>
            <w:tcW w:w="1388" w:type="pct"/>
            <w:vAlign w:val="center"/>
          </w:tcPr>
          <w:p w14:paraId="354B99E1">
            <w:pPr>
              <w:spacing w:line="240" w:lineRule="auto"/>
              <w:ind w:firstLine="0" w:firstLineChars="0"/>
              <w:rPr>
                <w:sz w:val="21"/>
                <w:szCs w:val="21"/>
              </w:rPr>
            </w:pPr>
            <w:r>
              <w:rPr>
                <w:sz w:val="21"/>
                <w:szCs w:val="21"/>
              </w:rPr>
              <w:t>镁合金压铸机、双室镁合金熔炉等</w:t>
            </w:r>
          </w:p>
        </w:tc>
        <w:tc>
          <w:tcPr>
            <w:tcW w:w="720" w:type="pct"/>
            <w:vAlign w:val="center"/>
          </w:tcPr>
          <w:p w14:paraId="58A42AA9">
            <w:pPr>
              <w:spacing w:line="240" w:lineRule="auto"/>
              <w:ind w:firstLine="0" w:firstLineChars="0"/>
              <w:rPr>
                <w:sz w:val="21"/>
                <w:szCs w:val="21"/>
              </w:rPr>
            </w:pPr>
            <w:r>
              <w:rPr>
                <w:sz w:val="21"/>
                <w:szCs w:val="21"/>
              </w:rPr>
              <w:t>金属制品业</w:t>
            </w:r>
          </w:p>
        </w:tc>
      </w:tr>
      <w:tr w14:paraId="144F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B461ABD">
            <w:pPr>
              <w:spacing w:line="240" w:lineRule="auto"/>
              <w:ind w:firstLine="0" w:firstLineChars="0"/>
              <w:rPr>
                <w:sz w:val="21"/>
                <w:szCs w:val="21"/>
              </w:rPr>
            </w:pPr>
            <w:r>
              <w:rPr>
                <w:sz w:val="21"/>
                <w:szCs w:val="21"/>
              </w:rPr>
              <w:t>15</w:t>
            </w:r>
          </w:p>
        </w:tc>
        <w:tc>
          <w:tcPr>
            <w:tcW w:w="856" w:type="pct"/>
            <w:vAlign w:val="center"/>
          </w:tcPr>
          <w:p w14:paraId="7EDA2D51">
            <w:pPr>
              <w:spacing w:line="240" w:lineRule="auto"/>
              <w:ind w:firstLine="0" w:firstLineChars="0"/>
              <w:rPr>
                <w:sz w:val="21"/>
                <w:szCs w:val="21"/>
              </w:rPr>
            </w:pPr>
            <w:r>
              <w:rPr>
                <w:sz w:val="21"/>
                <w:szCs w:val="21"/>
              </w:rPr>
              <w:t>丰达石油装备股份有限公司</w:t>
            </w:r>
          </w:p>
        </w:tc>
        <w:tc>
          <w:tcPr>
            <w:tcW w:w="1388" w:type="pct"/>
            <w:vAlign w:val="center"/>
          </w:tcPr>
          <w:p w14:paraId="3119A64A">
            <w:pPr>
              <w:spacing w:line="240" w:lineRule="auto"/>
              <w:ind w:firstLine="0" w:firstLineChars="0"/>
              <w:rPr>
                <w:sz w:val="21"/>
                <w:szCs w:val="21"/>
              </w:rPr>
            </w:pPr>
            <w:r>
              <w:rPr>
                <w:sz w:val="21"/>
                <w:szCs w:val="21"/>
              </w:rPr>
              <w:t>年产抽油杆系列产品1500万米、抽油杆系列圆钢8万吨、钻铤系列产品1万只、整筒管式抽油泵系列产品5000套、油管系列产品4万吨、地质钻杆系列产品2万吨</w:t>
            </w:r>
          </w:p>
        </w:tc>
        <w:tc>
          <w:tcPr>
            <w:tcW w:w="1388" w:type="pct"/>
            <w:vAlign w:val="center"/>
          </w:tcPr>
          <w:p w14:paraId="4EDC7239">
            <w:pPr>
              <w:spacing w:line="240" w:lineRule="auto"/>
              <w:ind w:firstLine="0" w:firstLineChars="0"/>
              <w:rPr>
                <w:sz w:val="21"/>
                <w:szCs w:val="21"/>
              </w:rPr>
            </w:pPr>
            <w:r>
              <w:rPr>
                <w:sz w:val="21"/>
                <w:szCs w:val="21"/>
              </w:rPr>
              <w:t>抽油杆圆钢扎制机组、全自动智能平锻机等</w:t>
            </w:r>
          </w:p>
        </w:tc>
        <w:tc>
          <w:tcPr>
            <w:tcW w:w="720" w:type="pct"/>
            <w:vAlign w:val="center"/>
          </w:tcPr>
          <w:p w14:paraId="2EA84FC5">
            <w:pPr>
              <w:spacing w:line="240" w:lineRule="auto"/>
              <w:ind w:firstLine="0" w:firstLineChars="0"/>
              <w:rPr>
                <w:sz w:val="21"/>
                <w:szCs w:val="21"/>
              </w:rPr>
            </w:pPr>
            <w:r>
              <w:rPr>
                <w:sz w:val="21"/>
                <w:szCs w:val="21"/>
              </w:rPr>
              <w:t>专用设备制造业</w:t>
            </w:r>
          </w:p>
        </w:tc>
      </w:tr>
      <w:tr w14:paraId="199E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0A4C268">
            <w:pPr>
              <w:spacing w:line="240" w:lineRule="auto"/>
              <w:ind w:firstLine="0" w:firstLineChars="0"/>
              <w:rPr>
                <w:sz w:val="21"/>
                <w:szCs w:val="21"/>
              </w:rPr>
            </w:pPr>
            <w:r>
              <w:rPr>
                <w:sz w:val="21"/>
                <w:szCs w:val="21"/>
              </w:rPr>
              <w:t>16</w:t>
            </w:r>
          </w:p>
        </w:tc>
        <w:tc>
          <w:tcPr>
            <w:tcW w:w="856" w:type="pct"/>
            <w:vAlign w:val="center"/>
          </w:tcPr>
          <w:p w14:paraId="02E81771">
            <w:pPr>
              <w:spacing w:line="240" w:lineRule="auto"/>
              <w:ind w:firstLine="0" w:firstLineChars="0"/>
              <w:rPr>
                <w:sz w:val="21"/>
                <w:szCs w:val="21"/>
              </w:rPr>
            </w:pPr>
            <w:r>
              <w:rPr>
                <w:sz w:val="21"/>
                <w:szCs w:val="21"/>
              </w:rPr>
              <w:t>内蒙古景蓉再生资源有限责任公司</w:t>
            </w:r>
          </w:p>
        </w:tc>
        <w:tc>
          <w:tcPr>
            <w:tcW w:w="1388" w:type="pct"/>
            <w:vAlign w:val="center"/>
          </w:tcPr>
          <w:p w14:paraId="2C40B52E">
            <w:pPr>
              <w:spacing w:line="240" w:lineRule="auto"/>
              <w:ind w:firstLine="0" w:firstLineChars="0"/>
              <w:rPr>
                <w:sz w:val="21"/>
                <w:szCs w:val="21"/>
              </w:rPr>
            </w:pPr>
            <w:r>
              <w:rPr>
                <w:sz w:val="21"/>
                <w:szCs w:val="21"/>
              </w:rPr>
              <w:t>年回收、拆解1万辆报废车</w:t>
            </w:r>
          </w:p>
        </w:tc>
        <w:tc>
          <w:tcPr>
            <w:tcW w:w="1388" w:type="pct"/>
            <w:vAlign w:val="center"/>
          </w:tcPr>
          <w:p w14:paraId="0482112E">
            <w:pPr>
              <w:spacing w:line="240" w:lineRule="auto"/>
              <w:ind w:firstLine="0" w:firstLineChars="0"/>
              <w:rPr>
                <w:sz w:val="21"/>
                <w:szCs w:val="21"/>
              </w:rPr>
            </w:pPr>
          </w:p>
        </w:tc>
        <w:tc>
          <w:tcPr>
            <w:tcW w:w="720" w:type="pct"/>
            <w:vAlign w:val="center"/>
          </w:tcPr>
          <w:p w14:paraId="7B99D247">
            <w:pPr>
              <w:spacing w:line="240" w:lineRule="auto"/>
              <w:ind w:firstLine="0" w:firstLineChars="0"/>
              <w:rPr>
                <w:sz w:val="21"/>
                <w:szCs w:val="21"/>
              </w:rPr>
            </w:pPr>
            <w:r>
              <w:rPr>
                <w:sz w:val="21"/>
                <w:szCs w:val="21"/>
              </w:rPr>
              <w:t>废弃资源综合利用业</w:t>
            </w:r>
          </w:p>
        </w:tc>
      </w:tr>
      <w:tr w14:paraId="20A6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1539698">
            <w:pPr>
              <w:spacing w:line="240" w:lineRule="auto"/>
              <w:ind w:firstLine="0" w:firstLineChars="0"/>
              <w:rPr>
                <w:sz w:val="21"/>
                <w:szCs w:val="21"/>
              </w:rPr>
            </w:pPr>
            <w:r>
              <w:rPr>
                <w:sz w:val="21"/>
                <w:szCs w:val="21"/>
              </w:rPr>
              <w:t>17</w:t>
            </w:r>
          </w:p>
        </w:tc>
        <w:tc>
          <w:tcPr>
            <w:tcW w:w="856" w:type="pct"/>
            <w:vAlign w:val="center"/>
          </w:tcPr>
          <w:p w14:paraId="5EAD54B6">
            <w:pPr>
              <w:spacing w:line="240" w:lineRule="auto"/>
              <w:ind w:firstLine="0" w:firstLineChars="0"/>
              <w:rPr>
                <w:sz w:val="21"/>
                <w:szCs w:val="21"/>
              </w:rPr>
            </w:pPr>
            <w:r>
              <w:rPr>
                <w:sz w:val="21"/>
                <w:szCs w:val="21"/>
              </w:rPr>
              <w:t>包头市德邦贸易有限责任公司</w:t>
            </w:r>
          </w:p>
        </w:tc>
        <w:tc>
          <w:tcPr>
            <w:tcW w:w="1388" w:type="pct"/>
            <w:vAlign w:val="center"/>
          </w:tcPr>
          <w:p w14:paraId="56A195CF">
            <w:pPr>
              <w:spacing w:line="240" w:lineRule="auto"/>
              <w:ind w:firstLine="0" w:firstLineChars="0"/>
              <w:rPr>
                <w:sz w:val="21"/>
                <w:szCs w:val="21"/>
              </w:rPr>
            </w:pPr>
            <w:r>
              <w:rPr>
                <w:sz w:val="21"/>
                <w:szCs w:val="21"/>
              </w:rPr>
              <w:t>年销售汽车500辆、配套重车上装500辆、维修汽车500辆</w:t>
            </w:r>
          </w:p>
        </w:tc>
        <w:tc>
          <w:tcPr>
            <w:tcW w:w="1388" w:type="pct"/>
            <w:vAlign w:val="center"/>
          </w:tcPr>
          <w:p w14:paraId="0605E002">
            <w:pPr>
              <w:spacing w:line="240" w:lineRule="auto"/>
              <w:ind w:firstLine="0" w:firstLineChars="0"/>
              <w:rPr>
                <w:sz w:val="21"/>
                <w:szCs w:val="21"/>
              </w:rPr>
            </w:pPr>
            <w:r>
              <w:rPr>
                <w:sz w:val="21"/>
                <w:szCs w:val="21"/>
              </w:rPr>
              <w:t>以钢板为原料，经过钣金、焊接进行车辆装配，喷漆工序外委</w:t>
            </w:r>
          </w:p>
        </w:tc>
        <w:tc>
          <w:tcPr>
            <w:tcW w:w="720" w:type="pct"/>
            <w:vAlign w:val="center"/>
          </w:tcPr>
          <w:p w14:paraId="3A28495D">
            <w:pPr>
              <w:spacing w:line="240" w:lineRule="auto"/>
              <w:ind w:firstLine="0" w:firstLineChars="0"/>
              <w:rPr>
                <w:sz w:val="21"/>
                <w:szCs w:val="21"/>
              </w:rPr>
            </w:pPr>
            <w:r>
              <w:rPr>
                <w:sz w:val="21"/>
                <w:szCs w:val="21"/>
              </w:rPr>
              <w:t>社会事业与服务业（汽车、摩托车维修场 所）</w:t>
            </w:r>
          </w:p>
        </w:tc>
      </w:tr>
      <w:tr w14:paraId="5BF7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E7D57F2">
            <w:pPr>
              <w:spacing w:line="240" w:lineRule="auto"/>
              <w:ind w:firstLine="0" w:firstLineChars="0"/>
              <w:rPr>
                <w:sz w:val="21"/>
                <w:szCs w:val="21"/>
              </w:rPr>
            </w:pPr>
            <w:r>
              <w:rPr>
                <w:sz w:val="21"/>
                <w:szCs w:val="21"/>
              </w:rPr>
              <w:t>18</w:t>
            </w:r>
          </w:p>
        </w:tc>
        <w:tc>
          <w:tcPr>
            <w:tcW w:w="856" w:type="pct"/>
            <w:vAlign w:val="center"/>
          </w:tcPr>
          <w:p w14:paraId="70C5967A">
            <w:pPr>
              <w:spacing w:line="240" w:lineRule="auto"/>
              <w:ind w:firstLine="0" w:firstLineChars="0"/>
              <w:rPr>
                <w:sz w:val="21"/>
                <w:szCs w:val="21"/>
              </w:rPr>
            </w:pPr>
            <w:r>
              <w:rPr>
                <w:sz w:val="21"/>
                <w:szCs w:val="21"/>
              </w:rPr>
              <w:t>内蒙古双菱锅炉制造有限责任公司</w:t>
            </w:r>
          </w:p>
        </w:tc>
        <w:tc>
          <w:tcPr>
            <w:tcW w:w="1388" w:type="pct"/>
            <w:vAlign w:val="center"/>
          </w:tcPr>
          <w:p w14:paraId="4F151E72">
            <w:pPr>
              <w:spacing w:line="240" w:lineRule="auto"/>
              <w:ind w:firstLine="0" w:firstLineChars="0"/>
              <w:rPr>
                <w:sz w:val="21"/>
                <w:szCs w:val="21"/>
              </w:rPr>
            </w:pPr>
            <w:r>
              <w:rPr>
                <w:sz w:val="21"/>
                <w:szCs w:val="21"/>
              </w:rPr>
              <w:t>环保锅炉</w:t>
            </w:r>
          </w:p>
        </w:tc>
        <w:tc>
          <w:tcPr>
            <w:tcW w:w="1388" w:type="pct"/>
            <w:vAlign w:val="center"/>
          </w:tcPr>
          <w:p w14:paraId="205185C4">
            <w:pPr>
              <w:spacing w:line="240" w:lineRule="auto"/>
              <w:ind w:firstLine="0" w:firstLineChars="0"/>
              <w:rPr>
                <w:sz w:val="21"/>
                <w:szCs w:val="21"/>
              </w:rPr>
            </w:pPr>
          </w:p>
        </w:tc>
        <w:tc>
          <w:tcPr>
            <w:tcW w:w="720" w:type="pct"/>
            <w:vAlign w:val="center"/>
          </w:tcPr>
          <w:p w14:paraId="08E9AD47">
            <w:pPr>
              <w:spacing w:line="240" w:lineRule="auto"/>
              <w:ind w:firstLine="0" w:firstLineChars="0"/>
              <w:rPr>
                <w:sz w:val="21"/>
                <w:szCs w:val="21"/>
              </w:rPr>
            </w:pPr>
            <w:r>
              <w:rPr>
                <w:sz w:val="21"/>
                <w:szCs w:val="21"/>
              </w:rPr>
              <w:t>通用设备制造业</w:t>
            </w:r>
          </w:p>
        </w:tc>
      </w:tr>
      <w:tr w14:paraId="5234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2839D0BF">
            <w:pPr>
              <w:spacing w:line="240" w:lineRule="auto"/>
              <w:ind w:firstLine="0" w:firstLineChars="0"/>
              <w:rPr>
                <w:sz w:val="21"/>
                <w:szCs w:val="21"/>
              </w:rPr>
            </w:pPr>
            <w:r>
              <w:rPr>
                <w:sz w:val="21"/>
                <w:szCs w:val="21"/>
              </w:rPr>
              <w:t>19</w:t>
            </w:r>
          </w:p>
        </w:tc>
        <w:tc>
          <w:tcPr>
            <w:tcW w:w="856" w:type="pct"/>
            <w:vMerge w:val="restart"/>
            <w:vAlign w:val="center"/>
          </w:tcPr>
          <w:p w14:paraId="0DDD208F">
            <w:pPr>
              <w:spacing w:line="240" w:lineRule="auto"/>
              <w:ind w:firstLine="0" w:firstLineChars="0"/>
              <w:rPr>
                <w:sz w:val="21"/>
                <w:szCs w:val="21"/>
              </w:rPr>
            </w:pPr>
            <w:r>
              <w:rPr>
                <w:sz w:val="21"/>
                <w:szCs w:val="21"/>
              </w:rPr>
              <w:t>包头市太阳满都拉电缆有限公司</w:t>
            </w:r>
          </w:p>
        </w:tc>
        <w:tc>
          <w:tcPr>
            <w:tcW w:w="1388" w:type="pct"/>
            <w:vAlign w:val="center"/>
          </w:tcPr>
          <w:p w14:paraId="6B269B8A">
            <w:pPr>
              <w:spacing w:line="240" w:lineRule="auto"/>
              <w:ind w:firstLine="0" w:firstLineChars="0"/>
              <w:rPr>
                <w:sz w:val="21"/>
                <w:szCs w:val="21"/>
              </w:rPr>
            </w:pPr>
            <w:r>
              <w:rPr>
                <w:sz w:val="21"/>
                <w:szCs w:val="21"/>
              </w:rPr>
              <w:t>年产超高压交联电缆、特种交联电缆、橡套电缆16200万米</w:t>
            </w:r>
          </w:p>
        </w:tc>
        <w:tc>
          <w:tcPr>
            <w:tcW w:w="1388" w:type="pct"/>
            <w:vAlign w:val="center"/>
          </w:tcPr>
          <w:p w14:paraId="3EAB7CB9">
            <w:pPr>
              <w:spacing w:line="240" w:lineRule="auto"/>
              <w:ind w:firstLine="0" w:firstLineChars="0"/>
              <w:rPr>
                <w:sz w:val="21"/>
                <w:szCs w:val="21"/>
              </w:rPr>
            </w:pPr>
            <w:r>
              <w:rPr>
                <w:sz w:val="21"/>
                <w:szCs w:val="21"/>
              </w:rPr>
              <w:t>铝大拉机.起重机.高速绞线机等</w:t>
            </w:r>
          </w:p>
        </w:tc>
        <w:tc>
          <w:tcPr>
            <w:tcW w:w="720" w:type="pct"/>
            <w:vMerge w:val="restart"/>
            <w:vAlign w:val="center"/>
          </w:tcPr>
          <w:p w14:paraId="42379799">
            <w:pPr>
              <w:spacing w:line="240" w:lineRule="auto"/>
              <w:ind w:firstLine="0" w:firstLineChars="0"/>
              <w:rPr>
                <w:sz w:val="21"/>
                <w:szCs w:val="21"/>
              </w:rPr>
            </w:pPr>
            <w:r>
              <w:rPr>
                <w:sz w:val="21"/>
                <w:szCs w:val="21"/>
              </w:rPr>
              <w:t>电气机械和器材制造业</w:t>
            </w:r>
          </w:p>
        </w:tc>
      </w:tr>
      <w:tr w14:paraId="1236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1A32B103">
            <w:pPr>
              <w:widowControl/>
              <w:spacing w:line="240" w:lineRule="auto"/>
              <w:ind w:firstLine="0" w:firstLineChars="0"/>
              <w:jc w:val="left"/>
              <w:rPr>
                <w:rFonts w:eastAsia="等线"/>
                <w:sz w:val="21"/>
                <w:szCs w:val="21"/>
              </w:rPr>
            </w:pPr>
          </w:p>
        </w:tc>
        <w:tc>
          <w:tcPr>
            <w:tcW w:w="856" w:type="pct"/>
            <w:vMerge w:val="continue"/>
            <w:vAlign w:val="center"/>
          </w:tcPr>
          <w:p w14:paraId="3BE1F8A5">
            <w:pPr>
              <w:widowControl/>
              <w:spacing w:line="240" w:lineRule="auto"/>
              <w:ind w:firstLine="0" w:firstLineChars="0"/>
              <w:jc w:val="left"/>
              <w:rPr>
                <w:rFonts w:eastAsia="等线"/>
                <w:sz w:val="21"/>
                <w:szCs w:val="21"/>
              </w:rPr>
            </w:pPr>
          </w:p>
        </w:tc>
        <w:tc>
          <w:tcPr>
            <w:tcW w:w="1388" w:type="pct"/>
            <w:vAlign w:val="center"/>
          </w:tcPr>
          <w:p w14:paraId="29E5646D">
            <w:pPr>
              <w:spacing w:line="240" w:lineRule="auto"/>
              <w:ind w:firstLine="0" w:firstLineChars="0"/>
              <w:rPr>
                <w:sz w:val="21"/>
                <w:szCs w:val="21"/>
              </w:rPr>
            </w:pPr>
            <w:r>
              <w:rPr>
                <w:sz w:val="21"/>
                <w:szCs w:val="21"/>
              </w:rPr>
              <w:t>年产环保型特种交联电缆 205×万m（其中压电缆生产线年产能 65×万m），清洁能源用橡套电缆 10×万m，改扩建后中压电缆生产线年产能增加 15×万m。</w:t>
            </w:r>
          </w:p>
        </w:tc>
        <w:tc>
          <w:tcPr>
            <w:tcW w:w="1388" w:type="pct"/>
            <w:vAlign w:val="center"/>
          </w:tcPr>
          <w:p w14:paraId="38D68F82">
            <w:pPr>
              <w:spacing w:line="240" w:lineRule="auto"/>
              <w:ind w:firstLine="0" w:firstLineChars="0"/>
              <w:rPr>
                <w:sz w:val="21"/>
                <w:szCs w:val="21"/>
              </w:rPr>
            </w:pPr>
          </w:p>
        </w:tc>
        <w:tc>
          <w:tcPr>
            <w:tcW w:w="720" w:type="pct"/>
            <w:vMerge w:val="continue"/>
            <w:vAlign w:val="center"/>
          </w:tcPr>
          <w:p w14:paraId="5CBA8EA4">
            <w:pPr>
              <w:widowControl/>
              <w:spacing w:line="240" w:lineRule="auto"/>
              <w:ind w:firstLine="0" w:firstLineChars="0"/>
              <w:jc w:val="left"/>
              <w:rPr>
                <w:rFonts w:eastAsia="等线"/>
                <w:sz w:val="21"/>
                <w:szCs w:val="21"/>
              </w:rPr>
            </w:pPr>
          </w:p>
        </w:tc>
      </w:tr>
      <w:tr w14:paraId="237C4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48" w:type="pct"/>
            <w:vAlign w:val="center"/>
          </w:tcPr>
          <w:p w14:paraId="7469FB3C">
            <w:pPr>
              <w:spacing w:line="240" w:lineRule="auto"/>
              <w:ind w:firstLine="0" w:firstLineChars="0"/>
              <w:rPr>
                <w:sz w:val="21"/>
                <w:szCs w:val="21"/>
              </w:rPr>
            </w:pPr>
            <w:r>
              <w:rPr>
                <w:sz w:val="21"/>
                <w:szCs w:val="21"/>
              </w:rPr>
              <w:t>20</w:t>
            </w:r>
          </w:p>
        </w:tc>
        <w:tc>
          <w:tcPr>
            <w:tcW w:w="856" w:type="pct"/>
            <w:vAlign w:val="center"/>
          </w:tcPr>
          <w:p w14:paraId="49718179">
            <w:pPr>
              <w:spacing w:line="240" w:lineRule="auto"/>
              <w:ind w:firstLine="0" w:firstLineChars="0"/>
              <w:rPr>
                <w:sz w:val="21"/>
                <w:szCs w:val="21"/>
              </w:rPr>
            </w:pPr>
            <w:r>
              <w:rPr>
                <w:sz w:val="21"/>
                <w:szCs w:val="21"/>
              </w:rPr>
              <w:t>包头北方安全防护装备制造有限公司</w:t>
            </w:r>
          </w:p>
        </w:tc>
        <w:tc>
          <w:tcPr>
            <w:tcW w:w="1388" w:type="pct"/>
            <w:vAlign w:val="center"/>
          </w:tcPr>
          <w:p w14:paraId="4790B2BD">
            <w:pPr>
              <w:spacing w:line="240" w:lineRule="auto"/>
              <w:ind w:firstLine="0" w:firstLineChars="0"/>
              <w:rPr>
                <w:sz w:val="21"/>
                <w:szCs w:val="21"/>
              </w:rPr>
            </w:pPr>
            <w:r>
              <w:rPr>
                <w:sz w:val="21"/>
                <w:szCs w:val="21"/>
              </w:rPr>
              <w:t>年产特种安全护栏1.6万片、镀锌喷塑高速公路护栏板6万吨</w:t>
            </w:r>
          </w:p>
        </w:tc>
        <w:tc>
          <w:tcPr>
            <w:tcW w:w="1388" w:type="pct"/>
            <w:vAlign w:val="center"/>
          </w:tcPr>
          <w:p w14:paraId="0917B0B2">
            <w:pPr>
              <w:spacing w:line="240" w:lineRule="auto"/>
              <w:ind w:firstLine="0" w:firstLineChars="0"/>
              <w:rPr>
                <w:sz w:val="21"/>
                <w:szCs w:val="21"/>
              </w:rPr>
            </w:pPr>
            <w:r>
              <w:rPr>
                <w:sz w:val="21"/>
                <w:szCs w:val="21"/>
              </w:rPr>
              <w:t>包括成型、酸洗、助镀、热镀锌、喷塑等工序</w:t>
            </w:r>
          </w:p>
        </w:tc>
        <w:tc>
          <w:tcPr>
            <w:tcW w:w="720" w:type="pct"/>
            <w:vAlign w:val="center"/>
          </w:tcPr>
          <w:p w14:paraId="549306F8">
            <w:pPr>
              <w:spacing w:line="240" w:lineRule="auto"/>
              <w:ind w:firstLine="0" w:firstLineChars="0"/>
              <w:rPr>
                <w:sz w:val="21"/>
                <w:szCs w:val="21"/>
              </w:rPr>
            </w:pPr>
            <w:r>
              <w:rPr>
                <w:sz w:val="21"/>
                <w:szCs w:val="21"/>
              </w:rPr>
              <w:t>金属制品业</w:t>
            </w:r>
          </w:p>
        </w:tc>
      </w:tr>
      <w:tr w14:paraId="4022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F665DA8">
            <w:pPr>
              <w:spacing w:line="240" w:lineRule="auto"/>
              <w:ind w:firstLine="0" w:firstLineChars="0"/>
              <w:rPr>
                <w:sz w:val="21"/>
                <w:szCs w:val="21"/>
              </w:rPr>
            </w:pPr>
            <w:r>
              <w:rPr>
                <w:sz w:val="21"/>
                <w:szCs w:val="21"/>
              </w:rPr>
              <w:t>21</w:t>
            </w:r>
          </w:p>
        </w:tc>
        <w:tc>
          <w:tcPr>
            <w:tcW w:w="856" w:type="pct"/>
            <w:vAlign w:val="center"/>
          </w:tcPr>
          <w:p w14:paraId="60BB374C">
            <w:pPr>
              <w:spacing w:line="240" w:lineRule="auto"/>
              <w:ind w:firstLine="0" w:firstLineChars="0"/>
              <w:rPr>
                <w:sz w:val="21"/>
                <w:szCs w:val="21"/>
              </w:rPr>
            </w:pPr>
            <w:r>
              <w:rPr>
                <w:sz w:val="21"/>
                <w:szCs w:val="21"/>
              </w:rPr>
              <w:t>内蒙古中成装配式金属结构有限公司</w:t>
            </w:r>
          </w:p>
        </w:tc>
        <w:tc>
          <w:tcPr>
            <w:tcW w:w="1388" w:type="pct"/>
            <w:vAlign w:val="center"/>
          </w:tcPr>
          <w:p w14:paraId="07D214B6">
            <w:pPr>
              <w:spacing w:line="240" w:lineRule="auto"/>
              <w:ind w:firstLine="0" w:firstLineChars="0"/>
              <w:rPr>
                <w:sz w:val="21"/>
                <w:szCs w:val="21"/>
              </w:rPr>
            </w:pPr>
            <w:r>
              <w:rPr>
                <w:sz w:val="21"/>
                <w:szCs w:val="21"/>
              </w:rPr>
              <w:t>年产钢构件5000吨</w:t>
            </w:r>
          </w:p>
        </w:tc>
        <w:tc>
          <w:tcPr>
            <w:tcW w:w="1388" w:type="pct"/>
            <w:vAlign w:val="center"/>
          </w:tcPr>
          <w:p w14:paraId="6B040FF5">
            <w:pPr>
              <w:spacing w:line="240" w:lineRule="auto"/>
              <w:ind w:firstLine="0" w:firstLineChars="0"/>
              <w:rPr>
                <w:sz w:val="21"/>
                <w:szCs w:val="21"/>
              </w:rPr>
            </w:pPr>
            <w:r>
              <w:rPr>
                <w:sz w:val="21"/>
                <w:szCs w:val="21"/>
              </w:rPr>
              <w:t>钢钩件切割、加工、喷漆</w:t>
            </w:r>
          </w:p>
        </w:tc>
        <w:tc>
          <w:tcPr>
            <w:tcW w:w="720" w:type="pct"/>
            <w:vAlign w:val="center"/>
          </w:tcPr>
          <w:p w14:paraId="0902CA3E">
            <w:pPr>
              <w:spacing w:line="240" w:lineRule="auto"/>
              <w:ind w:firstLine="0" w:firstLineChars="0"/>
              <w:rPr>
                <w:sz w:val="21"/>
                <w:szCs w:val="21"/>
              </w:rPr>
            </w:pPr>
            <w:r>
              <w:rPr>
                <w:sz w:val="21"/>
                <w:szCs w:val="21"/>
              </w:rPr>
              <w:t>金属制品业</w:t>
            </w:r>
          </w:p>
        </w:tc>
      </w:tr>
      <w:tr w14:paraId="0BE6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F64D2B8">
            <w:pPr>
              <w:spacing w:line="240" w:lineRule="auto"/>
              <w:ind w:firstLine="0" w:firstLineChars="0"/>
              <w:rPr>
                <w:sz w:val="21"/>
                <w:szCs w:val="21"/>
              </w:rPr>
            </w:pPr>
            <w:r>
              <w:rPr>
                <w:sz w:val="21"/>
                <w:szCs w:val="21"/>
              </w:rPr>
              <w:t>22</w:t>
            </w:r>
          </w:p>
        </w:tc>
        <w:tc>
          <w:tcPr>
            <w:tcW w:w="856" w:type="pct"/>
            <w:vAlign w:val="center"/>
          </w:tcPr>
          <w:p w14:paraId="41311B47">
            <w:pPr>
              <w:spacing w:line="240" w:lineRule="auto"/>
              <w:ind w:firstLine="0" w:firstLineChars="0"/>
              <w:rPr>
                <w:sz w:val="21"/>
                <w:szCs w:val="21"/>
              </w:rPr>
            </w:pPr>
            <w:r>
              <w:rPr>
                <w:sz w:val="21"/>
                <w:szCs w:val="21"/>
              </w:rPr>
              <w:t>内蒙古世纪装备制造有限公司</w:t>
            </w:r>
          </w:p>
        </w:tc>
        <w:tc>
          <w:tcPr>
            <w:tcW w:w="1388" w:type="pct"/>
            <w:vAlign w:val="center"/>
          </w:tcPr>
          <w:p w14:paraId="3651CA3A">
            <w:pPr>
              <w:spacing w:line="240" w:lineRule="auto"/>
              <w:ind w:firstLine="0" w:firstLineChars="0"/>
              <w:rPr>
                <w:sz w:val="21"/>
                <w:szCs w:val="21"/>
              </w:rPr>
            </w:pPr>
            <w:r>
              <w:rPr>
                <w:sz w:val="21"/>
                <w:szCs w:val="21"/>
              </w:rPr>
              <w:t>年产多功能消防抢险救援坦克车50辆</w:t>
            </w:r>
          </w:p>
        </w:tc>
        <w:tc>
          <w:tcPr>
            <w:tcW w:w="1388" w:type="pct"/>
            <w:vAlign w:val="center"/>
          </w:tcPr>
          <w:p w14:paraId="274C5CCD">
            <w:pPr>
              <w:spacing w:line="240" w:lineRule="auto"/>
              <w:ind w:firstLine="0" w:firstLineChars="0"/>
              <w:rPr>
                <w:sz w:val="21"/>
                <w:szCs w:val="21"/>
              </w:rPr>
            </w:pPr>
            <w:r>
              <w:rPr>
                <w:sz w:val="21"/>
                <w:szCs w:val="21"/>
              </w:rPr>
              <w:t>以钢材为原料，外购其他部件，经机加工、喷漆和焊接生产装配消防坦克车</w:t>
            </w:r>
          </w:p>
        </w:tc>
        <w:tc>
          <w:tcPr>
            <w:tcW w:w="720" w:type="pct"/>
            <w:vAlign w:val="center"/>
          </w:tcPr>
          <w:p w14:paraId="6134F136">
            <w:pPr>
              <w:spacing w:line="240" w:lineRule="auto"/>
              <w:ind w:firstLine="0" w:firstLineChars="0"/>
              <w:rPr>
                <w:sz w:val="21"/>
                <w:szCs w:val="21"/>
              </w:rPr>
            </w:pPr>
            <w:r>
              <w:rPr>
                <w:sz w:val="21"/>
                <w:szCs w:val="21"/>
              </w:rPr>
              <w:t>汽车制造业</w:t>
            </w:r>
          </w:p>
        </w:tc>
      </w:tr>
      <w:tr w14:paraId="013F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449DE595">
            <w:pPr>
              <w:spacing w:line="240" w:lineRule="auto"/>
              <w:ind w:firstLine="0" w:firstLineChars="0"/>
              <w:rPr>
                <w:sz w:val="21"/>
                <w:szCs w:val="21"/>
              </w:rPr>
            </w:pPr>
            <w:r>
              <w:rPr>
                <w:sz w:val="21"/>
                <w:szCs w:val="21"/>
              </w:rPr>
              <w:t>23</w:t>
            </w:r>
          </w:p>
        </w:tc>
        <w:tc>
          <w:tcPr>
            <w:tcW w:w="856" w:type="pct"/>
            <w:vMerge w:val="restart"/>
            <w:vAlign w:val="center"/>
          </w:tcPr>
          <w:p w14:paraId="389728D4">
            <w:pPr>
              <w:spacing w:line="240" w:lineRule="auto"/>
              <w:ind w:firstLine="0" w:firstLineChars="0"/>
              <w:rPr>
                <w:sz w:val="21"/>
                <w:szCs w:val="21"/>
              </w:rPr>
            </w:pPr>
            <w:r>
              <w:rPr>
                <w:sz w:val="21"/>
                <w:szCs w:val="21"/>
              </w:rPr>
              <w:t>包头市金亨稀土永磁有限公司</w:t>
            </w:r>
          </w:p>
        </w:tc>
        <w:tc>
          <w:tcPr>
            <w:tcW w:w="1388" w:type="pct"/>
            <w:vAlign w:val="center"/>
          </w:tcPr>
          <w:p w14:paraId="2AAEEDB3">
            <w:pPr>
              <w:spacing w:line="240" w:lineRule="auto"/>
              <w:ind w:firstLine="0" w:firstLineChars="0"/>
              <w:rPr>
                <w:sz w:val="21"/>
                <w:szCs w:val="21"/>
              </w:rPr>
            </w:pPr>
            <w:r>
              <w:rPr>
                <w:sz w:val="21"/>
                <w:szCs w:val="21"/>
              </w:rPr>
              <w:t>年产2400吨钕铁硼磁片</w:t>
            </w:r>
          </w:p>
        </w:tc>
        <w:tc>
          <w:tcPr>
            <w:tcW w:w="1388" w:type="pct"/>
            <w:vAlign w:val="center"/>
          </w:tcPr>
          <w:p w14:paraId="2D4784C0">
            <w:pPr>
              <w:spacing w:line="240" w:lineRule="auto"/>
              <w:ind w:firstLine="0" w:firstLineChars="0"/>
              <w:rPr>
                <w:sz w:val="21"/>
                <w:szCs w:val="21"/>
              </w:rPr>
            </w:pPr>
          </w:p>
        </w:tc>
        <w:tc>
          <w:tcPr>
            <w:tcW w:w="720" w:type="pct"/>
            <w:vAlign w:val="center"/>
          </w:tcPr>
          <w:p w14:paraId="2224BBF0">
            <w:pPr>
              <w:spacing w:line="240" w:lineRule="auto"/>
              <w:ind w:firstLine="0" w:firstLineChars="0"/>
              <w:rPr>
                <w:sz w:val="21"/>
                <w:szCs w:val="21"/>
              </w:rPr>
            </w:pPr>
            <w:r>
              <w:rPr>
                <w:sz w:val="21"/>
                <w:szCs w:val="21"/>
              </w:rPr>
              <w:t>电子元件及电子专用材料制造</w:t>
            </w:r>
          </w:p>
        </w:tc>
      </w:tr>
      <w:tr w14:paraId="2900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357C2612">
            <w:pPr>
              <w:widowControl/>
              <w:spacing w:line="240" w:lineRule="auto"/>
              <w:ind w:firstLine="0" w:firstLineChars="0"/>
              <w:jc w:val="left"/>
              <w:rPr>
                <w:rFonts w:eastAsia="等线"/>
                <w:sz w:val="21"/>
                <w:szCs w:val="21"/>
              </w:rPr>
            </w:pPr>
          </w:p>
        </w:tc>
        <w:tc>
          <w:tcPr>
            <w:tcW w:w="856" w:type="pct"/>
            <w:vMerge w:val="continue"/>
            <w:vAlign w:val="center"/>
          </w:tcPr>
          <w:p w14:paraId="46A0ABA9">
            <w:pPr>
              <w:widowControl/>
              <w:spacing w:line="240" w:lineRule="auto"/>
              <w:ind w:firstLine="0" w:firstLineChars="0"/>
              <w:jc w:val="left"/>
              <w:rPr>
                <w:rFonts w:eastAsia="等线"/>
                <w:sz w:val="21"/>
                <w:szCs w:val="21"/>
              </w:rPr>
            </w:pPr>
          </w:p>
        </w:tc>
        <w:tc>
          <w:tcPr>
            <w:tcW w:w="1388" w:type="pct"/>
            <w:vAlign w:val="center"/>
          </w:tcPr>
          <w:p w14:paraId="6A72D905">
            <w:pPr>
              <w:spacing w:line="240" w:lineRule="auto"/>
              <w:ind w:firstLine="0" w:firstLineChars="0"/>
              <w:rPr>
                <w:sz w:val="21"/>
                <w:szCs w:val="21"/>
              </w:rPr>
            </w:pPr>
            <w:r>
              <w:rPr>
                <w:sz w:val="21"/>
                <w:szCs w:val="21"/>
              </w:rPr>
              <w:t>年产金刚线28000万米</w:t>
            </w:r>
          </w:p>
        </w:tc>
        <w:tc>
          <w:tcPr>
            <w:tcW w:w="1388" w:type="pct"/>
            <w:vAlign w:val="center"/>
          </w:tcPr>
          <w:p w14:paraId="31E7E422">
            <w:pPr>
              <w:spacing w:line="240" w:lineRule="auto"/>
              <w:ind w:firstLine="0" w:firstLineChars="0"/>
              <w:rPr>
                <w:sz w:val="21"/>
                <w:szCs w:val="21"/>
              </w:rPr>
            </w:pPr>
          </w:p>
        </w:tc>
        <w:tc>
          <w:tcPr>
            <w:tcW w:w="720" w:type="pct"/>
            <w:vAlign w:val="center"/>
          </w:tcPr>
          <w:p w14:paraId="2007F609">
            <w:pPr>
              <w:spacing w:line="240" w:lineRule="auto"/>
              <w:ind w:firstLine="0" w:firstLineChars="0"/>
              <w:rPr>
                <w:sz w:val="21"/>
                <w:szCs w:val="21"/>
              </w:rPr>
            </w:pPr>
            <w:r>
              <w:rPr>
                <w:sz w:val="21"/>
                <w:szCs w:val="21"/>
              </w:rPr>
              <w:t>金属制品业</w:t>
            </w:r>
          </w:p>
        </w:tc>
      </w:tr>
      <w:tr w14:paraId="77C5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A2853F6">
            <w:pPr>
              <w:spacing w:line="240" w:lineRule="auto"/>
              <w:ind w:firstLine="0" w:firstLineChars="0"/>
              <w:rPr>
                <w:sz w:val="21"/>
                <w:szCs w:val="21"/>
              </w:rPr>
            </w:pPr>
            <w:r>
              <w:rPr>
                <w:sz w:val="21"/>
                <w:szCs w:val="21"/>
              </w:rPr>
              <w:t>24</w:t>
            </w:r>
          </w:p>
        </w:tc>
        <w:tc>
          <w:tcPr>
            <w:tcW w:w="856" w:type="pct"/>
            <w:vAlign w:val="center"/>
          </w:tcPr>
          <w:p w14:paraId="3B43E077">
            <w:pPr>
              <w:spacing w:line="240" w:lineRule="auto"/>
              <w:ind w:firstLine="0" w:firstLineChars="0"/>
              <w:rPr>
                <w:sz w:val="21"/>
                <w:szCs w:val="21"/>
              </w:rPr>
            </w:pPr>
            <w:r>
              <w:rPr>
                <w:sz w:val="21"/>
                <w:szCs w:val="21"/>
              </w:rPr>
              <w:t>河北维得利吊索具制造有限公司内蒙分公司</w:t>
            </w:r>
          </w:p>
        </w:tc>
        <w:tc>
          <w:tcPr>
            <w:tcW w:w="1388" w:type="pct"/>
            <w:vAlign w:val="center"/>
          </w:tcPr>
          <w:p w14:paraId="2FB431CA">
            <w:pPr>
              <w:spacing w:line="240" w:lineRule="auto"/>
              <w:ind w:firstLine="0" w:firstLineChars="0"/>
              <w:rPr>
                <w:sz w:val="21"/>
                <w:szCs w:val="21"/>
              </w:rPr>
            </w:pPr>
            <w:r>
              <w:rPr>
                <w:sz w:val="21"/>
                <w:szCs w:val="21"/>
              </w:rPr>
              <w:t>年产吊索具2500套、汽车冲压件15万件、物流工位器具0.5万台（套）及汽车内饰件10万套（件）</w:t>
            </w:r>
          </w:p>
        </w:tc>
        <w:tc>
          <w:tcPr>
            <w:tcW w:w="1388" w:type="pct"/>
            <w:vAlign w:val="center"/>
          </w:tcPr>
          <w:p w14:paraId="0EF6DEC0">
            <w:pPr>
              <w:spacing w:line="240" w:lineRule="auto"/>
              <w:ind w:firstLine="0" w:firstLineChars="0"/>
              <w:rPr>
                <w:sz w:val="21"/>
                <w:szCs w:val="21"/>
              </w:rPr>
            </w:pPr>
            <w:r>
              <w:rPr>
                <w:sz w:val="21"/>
                <w:szCs w:val="21"/>
              </w:rPr>
              <w:t>压力机、锯床、钻床等，焊接无喷漆</w:t>
            </w:r>
          </w:p>
        </w:tc>
        <w:tc>
          <w:tcPr>
            <w:tcW w:w="720" w:type="pct"/>
            <w:vAlign w:val="center"/>
          </w:tcPr>
          <w:p w14:paraId="2A6A3853">
            <w:pPr>
              <w:spacing w:line="240" w:lineRule="auto"/>
              <w:ind w:firstLine="0" w:firstLineChars="0"/>
              <w:rPr>
                <w:sz w:val="21"/>
                <w:szCs w:val="21"/>
              </w:rPr>
            </w:pPr>
            <w:r>
              <w:rPr>
                <w:sz w:val="21"/>
                <w:szCs w:val="21"/>
              </w:rPr>
              <w:t>汽车制造业（汽车零部件及配件制造）</w:t>
            </w:r>
          </w:p>
        </w:tc>
      </w:tr>
      <w:tr w14:paraId="102C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439567DD">
            <w:pPr>
              <w:spacing w:line="240" w:lineRule="auto"/>
              <w:ind w:firstLine="0" w:firstLineChars="0"/>
              <w:rPr>
                <w:sz w:val="21"/>
                <w:szCs w:val="21"/>
              </w:rPr>
            </w:pPr>
            <w:r>
              <w:rPr>
                <w:sz w:val="21"/>
                <w:szCs w:val="21"/>
              </w:rPr>
              <w:t>25</w:t>
            </w:r>
          </w:p>
        </w:tc>
        <w:tc>
          <w:tcPr>
            <w:tcW w:w="856" w:type="pct"/>
            <w:vMerge w:val="restart"/>
            <w:vAlign w:val="center"/>
          </w:tcPr>
          <w:p w14:paraId="0F6C14D5">
            <w:pPr>
              <w:spacing w:line="240" w:lineRule="auto"/>
              <w:ind w:firstLine="0" w:firstLineChars="0"/>
              <w:rPr>
                <w:sz w:val="21"/>
                <w:szCs w:val="21"/>
              </w:rPr>
            </w:pPr>
            <w:r>
              <w:rPr>
                <w:sz w:val="21"/>
                <w:szCs w:val="21"/>
              </w:rPr>
              <w:t>包头市龙达机械加工有限责任公司</w:t>
            </w:r>
          </w:p>
        </w:tc>
        <w:tc>
          <w:tcPr>
            <w:tcW w:w="1388" w:type="pct"/>
            <w:vAlign w:val="center"/>
          </w:tcPr>
          <w:p w14:paraId="6D60DFD4">
            <w:pPr>
              <w:spacing w:line="240" w:lineRule="auto"/>
              <w:ind w:firstLine="0" w:firstLineChars="0"/>
              <w:rPr>
                <w:sz w:val="21"/>
                <w:szCs w:val="21"/>
              </w:rPr>
            </w:pPr>
            <w:r>
              <w:rPr>
                <w:sz w:val="21"/>
                <w:szCs w:val="21"/>
              </w:rPr>
              <w:t>抽油杆接箍30 万节（包括 5000 节喷焊接箍，采用镍粉进行喷焊，防腐效果更好）</w:t>
            </w:r>
          </w:p>
        </w:tc>
        <w:tc>
          <w:tcPr>
            <w:tcW w:w="1388" w:type="pct"/>
            <w:vAlign w:val="center"/>
          </w:tcPr>
          <w:p w14:paraId="11F163A5">
            <w:pPr>
              <w:spacing w:line="240" w:lineRule="auto"/>
              <w:ind w:firstLine="0" w:firstLineChars="0"/>
              <w:rPr>
                <w:sz w:val="21"/>
                <w:szCs w:val="21"/>
              </w:rPr>
            </w:pPr>
            <w:r>
              <w:rPr>
                <w:sz w:val="21"/>
                <w:szCs w:val="21"/>
              </w:rPr>
              <w:t>机械加工</w:t>
            </w:r>
          </w:p>
        </w:tc>
        <w:tc>
          <w:tcPr>
            <w:tcW w:w="720" w:type="pct"/>
            <w:vMerge w:val="restart"/>
            <w:vAlign w:val="center"/>
          </w:tcPr>
          <w:p w14:paraId="4A2C4754">
            <w:pPr>
              <w:spacing w:line="240" w:lineRule="auto"/>
              <w:ind w:firstLine="0" w:firstLineChars="0"/>
              <w:rPr>
                <w:sz w:val="21"/>
                <w:szCs w:val="21"/>
              </w:rPr>
            </w:pPr>
            <w:r>
              <w:rPr>
                <w:sz w:val="21"/>
                <w:szCs w:val="21"/>
              </w:rPr>
              <w:t>专用设备制造业</w:t>
            </w:r>
          </w:p>
        </w:tc>
      </w:tr>
      <w:tr w14:paraId="7DA5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5D01F3F1">
            <w:pPr>
              <w:widowControl/>
              <w:spacing w:line="240" w:lineRule="auto"/>
              <w:ind w:firstLine="0" w:firstLineChars="0"/>
              <w:jc w:val="left"/>
              <w:rPr>
                <w:rFonts w:eastAsia="等线"/>
                <w:sz w:val="21"/>
                <w:szCs w:val="21"/>
              </w:rPr>
            </w:pPr>
          </w:p>
        </w:tc>
        <w:tc>
          <w:tcPr>
            <w:tcW w:w="856" w:type="pct"/>
            <w:vMerge w:val="continue"/>
            <w:vAlign w:val="center"/>
          </w:tcPr>
          <w:p w14:paraId="72206DE5">
            <w:pPr>
              <w:widowControl/>
              <w:spacing w:line="240" w:lineRule="auto"/>
              <w:ind w:firstLine="0" w:firstLineChars="0"/>
              <w:jc w:val="left"/>
              <w:rPr>
                <w:rFonts w:eastAsia="等线"/>
                <w:sz w:val="21"/>
                <w:szCs w:val="21"/>
              </w:rPr>
            </w:pPr>
          </w:p>
        </w:tc>
        <w:tc>
          <w:tcPr>
            <w:tcW w:w="1388" w:type="pct"/>
            <w:vAlign w:val="center"/>
          </w:tcPr>
          <w:p w14:paraId="31061867">
            <w:pPr>
              <w:spacing w:line="240" w:lineRule="auto"/>
              <w:ind w:firstLine="0" w:firstLineChars="0"/>
              <w:rPr>
                <w:sz w:val="21"/>
                <w:szCs w:val="21"/>
              </w:rPr>
            </w:pPr>
            <w:r>
              <w:rPr>
                <w:sz w:val="21"/>
                <w:szCs w:val="21"/>
              </w:rPr>
              <w:t>年产100 万套抽油杆扶正器项目</w:t>
            </w:r>
          </w:p>
        </w:tc>
        <w:tc>
          <w:tcPr>
            <w:tcW w:w="1388" w:type="pct"/>
            <w:vAlign w:val="center"/>
          </w:tcPr>
          <w:p w14:paraId="3D22D32B">
            <w:pPr>
              <w:spacing w:line="240" w:lineRule="auto"/>
              <w:ind w:firstLine="0" w:firstLineChars="0"/>
              <w:rPr>
                <w:sz w:val="21"/>
                <w:szCs w:val="21"/>
              </w:rPr>
            </w:pPr>
          </w:p>
        </w:tc>
        <w:tc>
          <w:tcPr>
            <w:tcW w:w="720" w:type="pct"/>
            <w:vMerge w:val="continue"/>
            <w:vAlign w:val="center"/>
          </w:tcPr>
          <w:p w14:paraId="293455E6">
            <w:pPr>
              <w:widowControl/>
              <w:spacing w:line="240" w:lineRule="auto"/>
              <w:ind w:firstLine="0" w:firstLineChars="0"/>
              <w:jc w:val="left"/>
              <w:rPr>
                <w:rFonts w:eastAsia="等线"/>
                <w:sz w:val="21"/>
                <w:szCs w:val="21"/>
              </w:rPr>
            </w:pPr>
          </w:p>
        </w:tc>
      </w:tr>
      <w:tr w14:paraId="4355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95CAAE1">
            <w:pPr>
              <w:spacing w:line="240" w:lineRule="auto"/>
              <w:ind w:firstLine="0" w:firstLineChars="0"/>
              <w:rPr>
                <w:sz w:val="21"/>
                <w:szCs w:val="21"/>
              </w:rPr>
            </w:pPr>
            <w:r>
              <w:rPr>
                <w:sz w:val="21"/>
                <w:szCs w:val="21"/>
              </w:rPr>
              <w:t>26</w:t>
            </w:r>
          </w:p>
        </w:tc>
        <w:tc>
          <w:tcPr>
            <w:tcW w:w="856" w:type="pct"/>
            <w:vAlign w:val="center"/>
          </w:tcPr>
          <w:p w14:paraId="4A64DC31">
            <w:pPr>
              <w:spacing w:line="240" w:lineRule="auto"/>
              <w:ind w:firstLine="0" w:firstLineChars="0"/>
              <w:rPr>
                <w:sz w:val="21"/>
                <w:szCs w:val="21"/>
              </w:rPr>
            </w:pPr>
            <w:r>
              <w:rPr>
                <w:sz w:val="21"/>
                <w:szCs w:val="21"/>
              </w:rPr>
              <w:t>包头市包运物流有限公司</w:t>
            </w:r>
          </w:p>
        </w:tc>
        <w:tc>
          <w:tcPr>
            <w:tcW w:w="1388" w:type="pct"/>
            <w:vAlign w:val="center"/>
          </w:tcPr>
          <w:p w14:paraId="1E2AE844">
            <w:pPr>
              <w:spacing w:line="240" w:lineRule="auto"/>
              <w:ind w:firstLine="0" w:firstLineChars="0"/>
              <w:rPr>
                <w:sz w:val="21"/>
                <w:szCs w:val="21"/>
              </w:rPr>
            </w:pPr>
            <w:r>
              <w:rPr>
                <w:sz w:val="21"/>
                <w:szCs w:val="21"/>
              </w:rPr>
              <w:t>年装配轮胎总成110万套</w:t>
            </w:r>
          </w:p>
        </w:tc>
        <w:tc>
          <w:tcPr>
            <w:tcW w:w="1388" w:type="pct"/>
            <w:vAlign w:val="center"/>
          </w:tcPr>
          <w:p w14:paraId="238C096C">
            <w:pPr>
              <w:spacing w:line="240" w:lineRule="auto"/>
              <w:ind w:firstLine="0" w:firstLineChars="0"/>
              <w:rPr>
                <w:sz w:val="21"/>
                <w:szCs w:val="21"/>
              </w:rPr>
            </w:pPr>
            <w:r>
              <w:rPr>
                <w:sz w:val="21"/>
                <w:szCs w:val="21"/>
              </w:rPr>
              <w:t>外购轮胎和轮辋进行装配即成产品，无焊接、喷漆工艺</w:t>
            </w:r>
          </w:p>
        </w:tc>
        <w:tc>
          <w:tcPr>
            <w:tcW w:w="720" w:type="pct"/>
            <w:vAlign w:val="center"/>
          </w:tcPr>
          <w:p w14:paraId="5813F473">
            <w:pPr>
              <w:spacing w:line="240" w:lineRule="auto"/>
              <w:ind w:firstLine="0" w:firstLineChars="0"/>
              <w:rPr>
                <w:sz w:val="21"/>
                <w:szCs w:val="21"/>
              </w:rPr>
            </w:pPr>
            <w:r>
              <w:rPr>
                <w:sz w:val="21"/>
                <w:szCs w:val="21"/>
              </w:rPr>
              <w:t>汽车制造业（汽车零部件及配件制造）</w:t>
            </w:r>
          </w:p>
        </w:tc>
      </w:tr>
      <w:tr w14:paraId="57E29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DE2AC91">
            <w:pPr>
              <w:spacing w:line="240" w:lineRule="auto"/>
              <w:ind w:firstLine="0" w:firstLineChars="0"/>
              <w:rPr>
                <w:sz w:val="21"/>
                <w:szCs w:val="21"/>
              </w:rPr>
            </w:pPr>
            <w:r>
              <w:rPr>
                <w:sz w:val="21"/>
                <w:szCs w:val="21"/>
              </w:rPr>
              <w:t>27</w:t>
            </w:r>
          </w:p>
        </w:tc>
        <w:tc>
          <w:tcPr>
            <w:tcW w:w="856" w:type="pct"/>
            <w:vAlign w:val="center"/>
          </w:tcPr>
          <w:p w14:paraId="050A065F">
            <w:pPr>
              <w:spacing w:line="240" w:lineRule="auto"/>
              <w:ind w:firstLine="0" w:firstLineChars="0"/>
              <w:rPr>
                <w:sz w:val="21"/>
                <w:szCs w:val="21"/>
              </w:rPr>
            </w:pPr>
            <w:r>
              <w:rPr>
                <w:sz w:val="21"/>
                <w:szCs w:val="21"/>
              </w:rPr>
              <w:t>包头群禾光伏科技有限公司</w:t>
            </w:r>
          </w:p>
        </w:tc>
        <w:tc>
          <w:tcPr>
            <w:tcW w:w="1388" w:type="pct"/>
            <w:vAlign w:val="center"/>
          </w:tcPr>
          <w:p w14:paraId="75E5B7DA">
            <w:pPr>
              <w:spacing w:line="240" w:lineRule="auto"/>
              <w:ind w:firstLine="0" w:firstLineChars="0"/>
              <w:rPr>
                <w:rFonts w:hint="eastAsia" w:eastAsia="宋体"/>
                <w:sz w:val="21"/>
                <w:szCs w:val="21"/>
                <w:lang w:eastAsia="zh-CN"/>
              </w:rPr>
            </w:pPr>
            <w:r>
              <w:rPr>
                <w:sz w:val="21"/>
                <w:szCs w:val="21"/>
              </w:rPr>
              <w:t>备年生产 15000 只单晶石英</w:t>
            </w:r>
            <w:r>
              <w:rPr>
                <w:rFonts w:hint="eastAsia"/>
                <w:sz w:val="21"/>
                <w:szCs w:val="21"/>
                <w:lang w:val="en-US" w:eastAsia="zh-CN"/>
              </w:rPr>
              <w:t>坩埚</w:t>
            </w:r>
          </w:p>
        </w:tc>
        <w:tc>
          <w:tcPr>
            <w:tcW w:w="1388" w:type="pct"/>
            <w:vAlign w:val="center"/>
          </w:tcPr>
          <w:p w14:paraId="05B2C607">
            <w:pPr>
              <w:spacing w:line="240" w:lineRule="auto"/>
              <w:ind w:firstLine="0" w:firstLineChars="0"/>
              <w:rPr>
                <w:sz w:val="21"/>
                <w:szCs w:val="21"/>
              </w:rPr>
            </w:pPr>
            <w:r>
              <w:rPr>
                <w:sz w:val="21"/>
                <w:szCs w:val="21"/>
              </w:rPr>
              <w:t>石英砂熔制、喷淋、切割、清洗及烘干</w:t>
            </w:r>
          </w:p>
        </w:tc>
        <w:tc>
          <w:tcPr>
            <w:tcW w:w="720" w:type="pct"/>
            <w:vAlign w:val="center"/>
          </w:tcPr>
          <w:p w14:paraId="7BDC3F92">
            <w:pPr>
              <w:spacing w:line="240" w:lineRule="auto"/>
              <w:ind w:firstLine="0" w:firstLineChars="0"/>
              <w:rPr>
                <w:sz w:val="21"/>
                <w:szCs w:val="21"/>
              </w:rPr>
            </w:pPr>
            <w:r>
              <w:rPr>
                <w:sz w:val="21"/>
                <w:szCs w:val="21"/>
              </w:rPr>
              <w:t>非金属矿物制品制造业</w:t>
            </w:r>
          </w:p>
        </w:tc>
      </w:tr>
      <w:tr w14:paraId="2DB3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92DB206">
            <w:pPr>
              <w:spacing w:line="240" w:lineRule="auto"/>
              <w:ind w:firstLine="0" w:firstLineChars="0"/>
              <w:rPr>
                <w:sz w:val="21"/>
                <w:szCs w:val="21"/>
              </w:rPr>
            </w:pPr>
            <w:r>
              <w:rPr>
                <w:sz w:val="21"/>
                <w:szCs w:val="21"/>
              </w:rPr>
              <w:t>28</w:t>
            </w:r>
          </w:p>
        </w:tc>
        <w:tc>
          <w:tcPr>
            <w:tcW w:w="856" w:type="pct"/>
            <w:vAlign w:val="center"/>
          </w:tcPr>
          <w:p w14:paraId="35BBB187">
            <w:pPr>
              <w:spacing w:line="240" w:lineRule="auto"/>
              <w:ind w:firstLine="0" w:firstLineChars="0"/>
              <w:rPr>
                <w:sz w:val="21"/>
                <w:szCs w:val="21"/>
              </w:rPr>
            </w:pPr>
            <w:r>
              <w:rPr>
                <w:sz w:val="21"/>
                <w:szCs w:val="21"/>
              </w:rPr>
              <w:t>内蒙古军航钨钼稀土科技有限公司</w:t>
            </w:r>
          </w:p>
        </w:tc>
        <w:tc>
          <w:tcPr>
            <w:tcW w:w="1388" w:type="pct"/>
            <w:vAlign w:val="center"/>
          </w:tcPr>
          <w:p w14:paraId="38292991">
            <w:pPr>
              <w:spacing w:line="240" w:lineRule="auto"/>
              <w:ind w:firstLine="0" w:firstLineChars="0"/>
              <w:rPr>
                <w:sz w:val="21"/>
                <w:szCs w:val="21"/>
              </w:rPr>
            </w:pPr>
            <w:r>
              <w:rPr>
                <w:sz w:val="21"/>
                <w:szCs w:val="21"/>
              </w:rPr>
              <w:t>年生产200t钨、钼制品</w:t>
            </w:r>
          </w:p>
        </w:tc>
        <w:tc>
          <w:tcPr>
            <w:tcW w:w="1388" w:type="pct"/>
            <w:vAlign w:val="center"/>
          </w:tcPr>
          <w:p w14:paraId="5A3AE205">
            <w:pPr>
              <w:spacing w:line="240" w:lineRule="auto"/>
              <w:ind w:firstLine="0" w:firstLineChars="0"/>
              <w:rPr>
                <w:sz w:val="21"/>
                <w:szCs w:val="21"/>
              </w:rPr>
            </w:pPr>
            <w:r>
              <w:rPr>
                <w:sz w:val="21"/>
                <w:szCs w:val="21"/>
              </w:rPr>
              <w:t>筛分、混匀、进模具、压制成型、烧结、机加工</w:t>
            </w:r>
          </w:p>
        </w:tc>
        <w:tc>
          <w:tcPr>
            <w:tcW w:w="720" w:type="pct"/>
            <w:vAlign w:val="center"/>
          </w:tcPr>
          <w:p w14:paraId="1D82D825">
            <w:pPr>
              <w:spacing w:line="240" w:lineRule="auto"/>
              <w:ind w:firstLine="0" w:firstLineChars="0"/>
              <w:rPr>
                <w:sz w:val="21"/>
                <w:szCs w:val="21"/>
              </w:rPr>
            </w:pPr>
            <w:r>
              <w:rPr>
                <w:sz w:val="21"/>
                <w:szCs w:val="21"/>
              </w:rPr>
              <w:t>有色金属压延加工</w:t>
            </w:r>
          </w:p>
        </w:tc>
      </w:tr>
      <w:tr w14:paraId="003F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9058851">
            <w:pPr>
              <w:spacing w:line="240" w:lineRule="auto"/>
              <w:ind w:firstLine="0" w:firstLineChars="0"/>
              <w:rPr>
                <w:sz w:val="21"/>
                <w:szCs w:val="21"/>
              </w:rPr>
            </w:pPr>
            <w:r>
              <w:rPr>
                <w:sz w:val="21"/>
                <w:szCs w:val="21"/>
              </w:rPr>
              <w:t>29</w:t>
            </w:r>
          </w:p>
        </w:tc>
        <w:tc>
          <w:tcPr>
            <w:tcW w:w="856" w:type="pct"/>
            <w:vAlign w:val="center"/>
          </w:tcPr>
          <w:p w14:paraId="3AA56E6C">
            <w:pPr>
              <w:spacing w:line="240" w:lineRule="auto"/>
              <w:ind w:firstLine="0" w:firstLineChars="0"/>
              <w:rPr>
                <w:sz w:val="21"/>
                <w:szCs w:val="21"/>
              </w:rPr>
            </w:pPr>
            <w:r>
              <w:rPr>
                <w:sz w:val="21"/>
                <w:szCs w:val="21"/>
              </w:rPr>
              <w:t>包头汉思新材料科技有限公司</w:t>
            </w:r>
          </w:p>
        </w:tc>
        <w:tc>
          <w:tcPr>
            <w:tcW w:w="1388" w:type="pct"/>
            <w:vAlign w:val="center"/>
          </w:tcPr>
          <w:p w14:paraId="14813BC6">
            <w:pPr>
              <w:spacing w:line="240" w:lineRule="auto"/>
              <w:ind w:firstLine="0" w:firstLineChars="0"/>
              <w:rPr>
                <w:sz w:val="21"/>
                <w:szCs w:val="21"/>
              </w:rPr>
            </w:pPr>
            <w:r>
              <w:rPr>
                <w:sz w:val="21"/>
                <w:szCs w:val="21"/>
              </w:rPr>
              <w:t>年产单晶炉碳/碳材料坩埚1100件（71.5吨）</w:t>
            </w:r>
          </w:p>
        </w:tc>
        <w:tc>
          <w:tcPr>
            <w:tcW w:w="1388" w:type="pct"/>
            <w:vAlign w:val="center"/>
          </w:tcPr>
          <w:p w14:paraId="2D881BED">
            <w:pPr>
              <w:spacing w:line="240" w:lineRule="auto"/>
              <w:ind w:firstLine="0" w:firstLineChars="0"/>
              <w:rPr>
                <w:sz w:val="21"/>
                <w:szCs w:val="21"/>
              </w:rPr>
            </w:pPr>
            <w:r>
              <w:rPr>
                <w:sz w:val="21"/>
                <w:szCs w:val="21"/>
              </w:rPr>
              <w:t>建设一条单晶炉碳/碳材料坩埚生产线，并同步建设循环水泵房、瓶组供气间、一般固废暂存间及危废暂存间，同时配套建设环保设备和供配电工程。</w:t>
            </w:r>
          </w:p>
        </w:tc>
        <w:tc>
          <w:tcPr>
            <w:tcW w:w="720" w:type="pct"/>
            <w:vAlign w:val="center"/>
          </w:tcPr>
          <w:p w14:paraId="30DD9495">
            <w:pPr>
              <w:spacing w:line="240" w:lineRule="auto"/>
              <w:ind w:firstLine="0" w:firstLineChars="0"/>
              <w:rPr>
                <w:sz w:val="21"/>
                <w:szCs w:val="21"/>
              </w:rPr>
            </w:pPr>
            <w:r>
              <w:rPr>
                <w:sz w:val="21"/>
                <w:szCs w:val="21"/>
              </w:rPr>
              <w:t>非金属矿物制品制造业</w:t>
            </w:r>
          </w:p>
        </w:tc>
      </w:tr>
      <w:tr w14:paraId="60BB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76BFCEC">
            <w:pPr>
              <w:spacing w:line="240" w:lineRule="auto"/>
              <w:ind w:firstLine="0" w:firstLineChars="0"/>
              <w:rPr>
                <w:sz w:val="21"/>
                <w:szCs w:val="21"/>
              </w:rPr>
            </w:pPr>
            <w:r>
              <w:rPr>
                <w:sz w:val="21"/>
                <w:szCs w:val="21"/>
              </w:rPr>
              <w:t>30</w:t>
            </w:r>
          </w:p>
        </w:tc>
        <w:tc>
          <w:tcPr>
            <w:tcW w:w="856" w:type="pct"/>
            <w:vAlign w:val="center"/>
          </w:tcPr>
          <w:p w14:paraId="6C8E3702">
            <w:pPr>
              <w:spacing w:line="240" w:lineRule="auto"/>
              <w:ind w:firstLine="0" w:firstLineChars="0"/>
              <w:rPr>
                <w:sz w:val="21"/>
                <w:szCs w:val="21"/>
              </w:rPr>
            </w:pPr>
            <w:r>
              <w:rPr>
                <w:sz w:val="21"/>
                <w:szCs w:val="21"/>
              </w:rPr>
              <w:t>内蒙古凯建楼宇设备销售有限公司</w:t>
            </w:r>
          </w:p>
        </w:tc>
        <w:tc>
          <w:tcPr>
            <w:tcW w:w="1388" w:type="pct"/>
            <w:vAlign w:val="center"/>
          </w:tcPr>
          <w:p w14:paraId="4FA0C49D">
            <w:pPr>
              <w:spacing w:line="240" w:lineRule="auto"/>
              <w:ind w:firstLine="0" w:firstLineChars="0"/>
              <w:rPr>
                <w:sz w:val="21"/>
                <w:szCs w:val="21"/>
              </w:rPr>
            </w:pPr>
            <w:r>
              <w:rPr>
                <w:sz w:val="21"/>
                <w:szCs w:val="21"/>
              </w:rPr>
              <w:t>年产空调末端及暖通设备6500台（精密空调末端设备3000台、环保节能风机2000台、高效换热设备1500台及共板法兰60000平方米）</w:t>
            </w:r>
          </w:p>
        </w:tc>
        <w:tc>
          <w:tcPr>
            <w:tcW w:w="1388" w:type="pct"/>
            <w:vAlign w:val="center"/>
          </w:tcPr>
          <w:p w14:paraId="1B5BD9DB">
            <w:pPr>
              <w:spacing w:line="240" w:lineRule="auto"/>
              <w:ind w:firstLine="0" w:firstLineChars="0"/>
              <w:rPr>
                <w:sz w:val="21"/>
                <w:szCs w:val="21"/>
              </w:rPr>
            </w:pPr>
            <w:r>
              <w:rPr>
                <w:sz w:val="21"/>
                <w:szCs w:val="21"/>
              </w:rPr>
              <w:t>以钢材为原料进行加工，无喷漆工序</w:t>
            </w:r>
          </w:p>
        </w:tc>
        <w:tc>
          <w:tcPr>
            <w:tcW w:w="720" w:type="pct"/>
            <w:vAlign w:val="center"/>
          </w:tcPr>
          <w:p w14:paraId="690488B1">
            <w:pPr>
              <w:spacing w:line="240" w:lineRule="auto"/>
              <w:ind w:firstLine="0" w:firstLineChars="0"/>
              <w:rPr>
                <w:sz w:val="21"/>
                <w:szCs w:val="21"/>
              </w:rPr>
            </w:pPr>
            <w:r>
              <w:rPr>
                <w:sz w:val="21"/>
                <w:szCs w:val="21"/>
              </w:rPr>
              <w:t>专用设备制造业</w:t>
            </w:r>
          </w:p>
        </w:tc>
      </w:tr>
      <w:tr w14:paraId="4D18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E610690">
            <w:pPr>
              <w:spacing w:line="240" w:lineRule="auto"/>
              <w:ind w:firstLine="0" w:firstLineChars="0"/>
              <w:rPr>
                <w:sz w:val="21"/>
                <w:szCs w:val="21"/>
              </w:rPr>
            </w:pPr>
            <w:r>
              <w:rPr>
                <w:sz w:val="21"/>
                <w:szCs w:val="21"/>
              </w:rPr>
              <w:t>31</w:t>
            </w:r>
          </w:p>
        </w:tc>
        <w:tc>
          <w:tcPr>
            <w:tcW w:w="856" w:type="pct"/>
            <w:vAlign w:val="center"/>
          </w:tcPr>
          <w:p w14:paraId="6878362E">
            <w:pPr>
              <w:spacing w:line="240" w:lineRule="auto"/>
              <w:ind w:firstLine="0" w:firstLineChars="0"/>
              <w:rPr>
                <w:sz w:val="21"/>
                <w:szCs w:val="21"/>
              </w:rPr>
            </w:pPr>
            <w:r>
              <w:rPr>
                <w:sz w:val="21"/>
                <w:szCs w:val="21"/>
              </w:rPr>
              <w:t>内蒙古欧蒙电力设备制造安装有限公司</w:t>
            </w:r>
          </w:p>
        </w:tc>
        <w:tc>
          <w:tcPr>
            <w:tcW w:w="1388" w:type="pct"/>
            <w:vAlign w:val="center"/>
          </w:tcPr>
          <w:p w14:paraId="1F0D7923">
            <w:pPr>
              <w:spacing w:line="240" w:lineRule="auto"/>
              <w:ind w:firstLine="0" w:firstLineChars="0"/>
              <w:rPr>
                <w:sz w:val="21"/>
                <w:szCs w:val="21"/>
              </w:rPr>
            </w:pPr>
            <w:r>
              <w:rPr>
                <w:sz w:val="21"/>
                <w:szCs w:val="21"/>
              </w:rPr>
              <w:t>年产高压10KV开关柜360台、箱式变电站240套、低压开关柜600台</w:t>
            </w:r>
          </w:p>
        </w:tc>
        <w:tc>
          <w:tcPr>
            <w:tcW w:w="1388" w:type="pct"/>
            <w:vAlign w:val="center"/>
          </w:tcPr>
          <w:p w14:paraId="757C20B1">
            <w:pPr>
              <w:spacing w:line="240" w:lineRule="auto"/>
              <w:ind w:firstLine="0" w:firstLineChars="0"/>
              <w:rPr>
                <w:sz w:val="21"/>
                <w:szCs w:val="21"/>
              </w:rPr>
            </w:pPr>
            <w:r>
              <w:rPr>
                <w:sz w:val="21"/>
                <w:szCs w:val="21"/>
              </w:rPr>
              <w:t>高、低压开关柜、箱式变电站组装生产线</w:t>
            </w:r>
          </w:p>
        </w:tc>
        <w:tc>
          <w:tcPr>
            <w:tcW w:w="720" w:type="pct"/>
            <w:vAlign w:val="center"/>
          </w:tcPr>
          <w:p w14:paraId="5ABAA531">
            <w:pPr>
              <w:spacing w:line="240" w:lineRule="auto"/>
              <w:ind w:firstLine="0" w:firstLineChars="0"/>
              <w:rPr>
                <w:sz w:val="21"/>
                <w:szCs w:val="21"/>
              </w:rPr>
            </w:pPr>
            <w:r>
              <w:rPr>
                <w:sz w:val="21"/>
                <w:szCs w:val="21"/>
              </w:rPr>
              <w:t>通用设备制造业</w:t>
            </w:r>
          </w:p>
        </w:tc>
      </w:tr>
      <w:tr w14:paraId="3378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D9D2CF3">
            <w:pPr>
              <w:spacing w:line="240" w:lineRule="auto"/>
              <w:ind w:firstLine="0" w:firstLineChars="0"/>
              <w:rPr>
                <w:sz w:val="21"/>
                <w:szCs w:val="21"/>
              </w:rPr>
            </w:pPr>
            <w:r>
              <w:rPr>
                <w:sz w:val="21"/>
                <w:szCs w:val="21"/>
              </w:rPr>
              <w:t>32</w:t>
            </w:r>
          </w:p>
        </w:tc>
        <w:tc>
          <w:tcPr>
            <w:tcW w:w="856" w:type="pct"/>
            <w:vAlign w:val="center"/>
          </w:tcPr>
          <w:p w14:paraId="378BF6BF">
            <w:pPr>
              <w:spacing w:line="240" w:lineRule="auto"/>
              <w:ind w:firstLine="0" w:firstLineChars="0"/>
              <w:rPr>
                <w:sz w:val="21"/>
                <w:szCs w:val="21"/>
              </w:rPr>
            </w:pPr>
            <w:r>
              <w:rPr>
                <w:sz w:val="21"/>
                <w:szCs w:val="21"/>
              </w:rPr>
              <w:t>内蒙古马家私房面餐饮有限责任公司</w:t>
            </w:r>
          </w:p>
        </w:tc>
        <w:tc>
          <w:tcPr>
            <w:tcW w:w="1388" w:type="pct"/>
            <w:vAlign w:val="center"/>
          </w:tcPr>
          <w:p w14:paraId="70AC1B4B">
            <w:pPr>
              <w:spacing w:line="240" w:lineRule="auto"/>
              <w:ind w:firstLine="0" w:firstLineChars="0"/>
              <w:rPr>
                <w:sz w:val="21"/>
                <w:szCs w:val="21"/>
              </w:rPr>
            </w:pPr>
            <w:r>
              <w:rPr>
                <w:sz w:val="21"/>
                <w:szCs w:val="21"/>
              </w:rPr>
              <w:t>年加工面食36吨，米类100吨、熟食类110吨</w:t>
            </w:r>
          </w:p>
        </w:tc>
        <w:tc>
          <w:tcPr>
            <w:tcW w:w="1388" w:type="pct"/>
            <w:vAlign w:val="center"/>
          </w:tcPr>
          <w:p w14:paraId="2EAA2E67">
            <w:pPr>
              <w:spacing w:line="240" w:lineRule="auto"/>
              <w:ind w:firstLine="0" w:firstLineChars="0"/>
              <w:rPr>
                <w:sz w:val="21"/>
                <w:szCs w:val="21"/>
              </w:rPr>
            </w:pPr>
          </w:p>
        </w:tc>
        <w:tc>
          <w:tcPr>
            <w:tcW w:w="720" w:type="pct"/>
            <w:vAlign w:val="center"/>
          </w:tcPr>
          <w:p w14:paraId="7DAB1098">
            <w:pPr>
              <w:spacing w:line="240" w:lineRule="auto"/>
              <w:ind w:firstLine="0" w:firstLineChars="0"/>
              <w:rPr>
                <w:sz w:val="21"/>
                <w:szCs w:val="21"/>
              </w:rPr>
            </w:pPr>
            <w:r>
              <w:rPr>
                <w:sz w:val="21"/>
                <w:szCs w:val="21"/>
              </w:rPr>
              <w:t>食品制造业</w:t>
            </w:r>
          </w:p>
        </w:tc>
      </w:tr>
      <w:tr w14:paraId="7208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2814787">
            <w:pPr>
              <w:spacing w:line="240" w:lineRule="auto"/>
              <w:ind w:firstLine="0" w:firstLineChars="0"/>
              <w:rPr>
                <w:sz w:val="21"/>
                <w:szCs w:val="21"/>
              </w:rPr>
            </w:pPr>
            <w:r>
              <w:rPr>
                <w:sz w:val="21"/>
                <w:szCs w:val="21"/>
              </w:rPr>
              <w:t>33</w:t>
            </w:r>
          </w:p>
        </w:tc>
        <w:tc>
          <w:tcPr>
            <w:tcW w:w="856" w:type="pct"/>
            <w:vAlign w:val="center"/>
          </w:tcPr>
          <w:p w14:paraId="4A31641F">
            <w:pPr>
              <w:spacing w:line="240" w:lineRule="auto"/>
              <w:ind w:firstLine="0" w:firstLineChars="0"/>
              <w:rPr>
                <w:sz w:val="21"/>
                <w:szCs w:val="21"/>
              </w:rPr>
            </w:pPr>
            <w:r>
              <w:rPr>
                <w:sz w:val="21"/>
                <w:szCs w:val="21"/>
              </w:rPr>
              <w:t>包头市震宇机械制造有限责任公司</w:t>
            </w:r>
          </w:p>
        </w:tc>
        <w:tc>
          <w:tcPr>
            <w:tcW w:w="1388" w:type="pct"/>
            <w:vAlign w:val="center"/>
          </w:tcPr>
          <w:p w14:paraId="709B6061">
            <w:pPr>
              <w:spacing w:line="240" w:lineRule="auto"/>
              <w:ind w:firstLine="0" w:firstLineChars="0"/>
              <w:rPr>
                <w:sz w:val="21"/>
                <w:szCs w:val="21"/>
              </w:rPr>
            </w:pPr>
            <w:r>
              <w:rPr>
                <w:sz w:val="21"/>
                <w:szCs w:val="21"/>
              </w:rPr>
              <w:t>年产汽车胎体贴合轮毂及随车工具、各种模具3000套</w:t>
            </w:r>
          </w:p>
        </w:tc>
        <w:tc>
          <w:tcPr>
            <w:tcW w:w="1388" w:type="pct"/>
            <w:vAlign w:val="center"/>
          </w:tcPr>
          <w:p w14:paraId="0788E9A2">
            <w:pPr>
              <w:spacing w:line="240" w:lineRule="auto"/>
              <w:ind w:firstLine="0" w:firstLineChars="0"/>
              <w:rPr>
                <w:sz w:val="21"/>
                <w:szCs w:val="21"/>
              </w:rPr>
            </w:pPr>
            <w:r>
              <w:rPr>
                <w:sz w:val="21"/>
                <w:szCs w:val="21"/>
              </w:rPr>
              <w:t>以合金钢为原料，经过机械加工即成成品，无喷漆工序</w:t>
            </w:r>
          </w:p>
        </w:tc>
        <w:tc>
          <w:tcPr>
            <w:tcW w:w="720" w:type="pct"/>
            <w:vAlign w:val="center"/>
          </w:tcPr>
          <w:p w14:paraId="24EF3722">
            <w:pPr>
              <w:spacing w:line="240" w:lineRule="auto"/>
              <w:ind w:firstLine="0" w:firstLineChars="0"/>
              <w:rPr>
                <w:sz w:val="21"/>
                <w:szCs w:val="21"/>
              </w:rPr>
            </w:pPr>
            <w:r>
              <w:rPr>
                <w:sz w:val="21"/>
                <w:szCs w:val="21"/>
              </w:rPr>
              <w:t>汽车制造业（汽车零部件及配件制造）</w:t>
            </w:r>
          </w:p>
        </w:tc>
      </w:tr>
      <w:tr w14:paraId="30E1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73789EC">
            <w:pPr>
              <w:spacing w:line="240" w:lineRule="auto"/>
              <w:ind w:firstLine="0" w:firstLineChars="0"/>
              <w:rPr>
                <w:sz w:val="21"/>
                <w:szCs w:val="21"/>
              </w:rPr>
            </w:pPr>
            <w:r>
              <w:rPr>
                <w:sz w:val="21"/>
                <w:szCs w:val="21"/>
              </w:rPr>
              <w:t>34</w:t>
            </w:r>
          </w:p>
        </w:tc>
        <w:tc>
          <w:tcPr>
            <w:tcW w:w="856" w:type="pct"/>
            <w:vAlign w:val="center"/>
          </w:tcPr>
          <w:p w14:paraId="42D188E8">
            <w:pPr>
              <w:spacing w:line="240" w:lineRule="auto"/>
              <w:ind w:firstLine="0" w:firstLineChars="0"/>
              <w:rPr>
                <w:sz w:val="21"/>
                <w:szCs w:val="21"/>
              </w:rPr>
            </w:pPr>
            <w:r>
              <w:rPr>
                <w:sz w:val="21"/>
                <w:szCs w:val="21"/>
              </w:rPr>
              <w:t>内蒙古巧工匠金属制品有限公司</w:t>
            </w:r>
          </w:p>
        </w:tc>
        <w:tc>
          <w:tcPr>
            <w:tcW w:w="1388" w:type="pct"/>
            <w:vAlign w:val="center"/>
          </w:tcPr>
          <w:p w14:paraId="1734521F">
            <w:pPr>
              <w:spacing w:line="240" w:lineRule="auto"/>
              <w:ind w:firstLine="0" w:firstLineChars="0"/>
              <w:rPr>
                <w:sz w:val="21"/>
                <w:szCs w:val="21"/>
              </w:rPr>
            </w:pPr>
            <w:r>
              <w:rPr>
                <w:sz w:val="21"/>
                <w:szCs w:val="21"/>
              </w:rPr>
              <w:t>十万米组装锌护栏</w:t>
            </w:r>
          </w:p>
        </w:tc>
        <w:tc>
          <w:tcPr>
            <w:tcW w:w="1388" w:type="pct"/>
            <w:vAlign w:val="center"/>
          </w:tcPr>
          <w:p w14:paraId="5496E69F">
            <w:pPr>
              <w:spacing w:line="240" w:lineRule="auto"/>
              <w:ind w:firstLine="0" w:firstLineChars="0"/>
              <w:rPr>
                <w:sz w:val="21"/>
                <w:szCs w:val="21"/>
              </w:rPr>
            </w:pPr>
          </w:p>
        </w:tc>
        <w:tc>
          <w:tcPr>
            <w:tcW w:w="720" w:type="pct"/>
            <w:vAlign w:val="center"/>
          </w:tcPr>
          <w:p w14:paraId="5C5426F1">
            <w:pPr>
              <w:spacing w:line="240" w:lineRule="auto"/>
              <w:ind w:firstLine="0" w:firstLineChars="0"/>
              <w:rPr>
                <w:sz w:val="21"/>
                <w:szCs w:val="21"/>
              </w:rPr>
            </w:pPr>
            <w:r>
              <w:rPr>
                <w:sz w:val="21"/>
                <w:szCs w:val="21"/>
              </w:rPr>
              <w:t>金属制品业</w:t>
            </w:r>
          </w:p>
        </w:tc>
      </w:tr>
      <w:tr w14:paraId="552C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7BC483D0">
            <w:pPr>
              <w:spacing w:line="240" w:lineRule="auto"/>
              <w:ind w:firstLine="0" w:firstLineChars="0"/>
              <w:rPr>
                <w:sz w:val="21"/>
                <w:szCs w:val="21"/>
              </w:rPr>
            </w:pPr>
            <w:r>
              <w:rPr>
                <w:sz w:val="21"/>
                <w:szCs w:val="21"/>
              </w:rPr>
              <w:t>35</w:t>
            </w:r>
          </w:p>
        </w:tc>
        <w:tc>
          <w:tcPr>
            <w:tcW w:w="856" w:type="pct"/>
            <w:vMerge w:val="restart"/>
            <w:vAlign w:val="center"/>
          </w:tcPr>
          <w:p w14:paraId="6BF34923">
            <w:pPr>
              <w:spacing w:line="240" w:lineRule="auto"/>
              <w:ind w:firstLine="0" w:firstLineChars="0"/>
              <w:rPr>
                <w:sz w:val="21"/>
                <w:szCs w:val="21"/>
              </w:rPr>
            </w:pPr>
            <w:r>
              <w:rPr>
                <w:sz w:val="21"/>
                <w:szCs w:val="21"/>
              </w:rPr>
              <w:t>内蒙古景优集成房屋有限公司</w:t>
            </w:r>
          </w:p>
        </w:tc>
        <w:tc>
          <w:tcPr>
            <w:tcW w:w="1388" w:type="pct"/>
            <w:vAlign w:val="center"/>
          </w:tcPr>
          <w:p w14:paraId="1D965854">
            <w:pPr>
              <w:spacing w:line="240" w:lineRule="auto"/>
              <w:ind w:firstLine="0" w:firstLineChars="0"/>
              <w:rPr>
                <w:sz w:val="21"/>
                <w:szCs w:val="21"/>
              </w:rPr>
            </w:pPr>
            <w:r>
              <w:rPr>
                <w:sz w:val="21"/>
                <w:szCs w:val="21"/>
              </w:rPr>
              <w:t>年加工集装箱房屋工程箱体 7000 套，定制箱体 1000套</w:t>
            </w:r>
          </w:p>
        </w:tc>
        <w:tc>
          <w:tcPr>
            <w:tcW w:w="1388" w:type="pct"/>
            <w:vAlign w:val="center"/>
          </w:tcPr>
          <w:p w14:paraId="6718CDDB">
            <w:pPr>
              <w:spacing w:line="240" w:lineRule="auto"/>
              <w:ind w:firstLine="0" w:firstLineChars="0"/>
              <w:rPr>
                <w:sz w:val="21"/>
                <w:szCs w:val="21"/>
              </w:rPr>
            </w:pPr>
            <w:r>
              <w:rPr>
                <w:sz w:val="21"/>
                <w:szCs w:val="21"/>
              </w:rPr>
              <w:t>机械加工</w:t>
            </w:r>
          </w:p>
        </w:tc>
        <w:tc>
          <w:tcPr>
            <w:tcW w:w="720" w:type="pct"/>
            <w:vMerge w:val="restart"/>
            <w:vAlign w:val="center"/>
          </w:tcPr>
          <w:p w14:paraId="1A761028">
            <w:pPr>
              <w:spacing w:line="240" w:lineRule="auto"/>
              <w:ind w:firstLine="0" w:firstLineChars="0"/>
              <w:rPr>
                <w:sz w:val="21"/>
                <w:szCs w:val="21"/>
              </w:rPr>
            </w:pPr>
            <w:r>
              <w:rPr>
                <w:sz w:val="21"/>
                <w:szCs w:val="21"/>
              </w:rPr>
              <w:t>通用设备制造业</w:t>
            </w:r>
          </w:p>
        </w:tc>
      </w:tr>
      <w:tr w14:paraId="62AF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068BEBA0">
            <w:pPr>
              <w:widowControl/>
              <w:spacing w:line="240" w:lineRule="auto"/>
              <w:ind w:firstLine="0" w:firstLineChars="0"/>
              <w:jc w:val="left"/>
              <w:rPr>
                <w:rFonts w:eastAsia="等线"/>
                <w:sz w:val="21"/>
                <w:szCs w:val="21"/>
              </w:rPr>
            </w:pPr>
          </w:p>
        </w:tc>
        <w:tc>
          <w:tcPr>
            <w:tcW w:w="856" w:type="pct"/>
            <w:vMerge w:val="continue"/>
            <w:vAlign w:val="center"/>
          </w:tcPr>
          <w:p w14:paraId="3F16DC9A">
            <w:pPr>
              <w:widowControl/>
              <w:spacing w:line="240" w:lineRule="auto"/>
              <w:ind w:firstLine="0" w:firstLineChars="0"/>
              <w:jc w:val="left"/>
              <w:rPr>
                <w:rFonts w:eastAsia="等线"/>
                <w:sz w:val="21"/>
                <w:szCs w:val="21"/>
              </w:rPr>
            </w:pPr>
          </w:p>
        </w:tc>
        <w:tc>
          <w:tcPr>
            <w:tcW w:w="1388" w:type="pct"/>
            <w:vAlign w:val="center"/>
          </w:tcPr>
          <w:p w14:paraId="5F28359F">
            <w:pPr>
              <w:spacing w:line="240" w:lineRule="auto"/>
              <w:ind w:firstLine="0" w:firstLineChars="0"/>
              <w:rPr>
                <w:sz w:val="21"/>
                <w:szCs w:val="21"/>
              </w:rPr>
            </w:pPr>
            <w:r>
              <w:rPr>
                <w:sz w:val="21"/>
                <w:szCs w:val="21"/>
              </w:rPr>
              <w:t>装配式建筑及被动式房屋</w:t>
            </w:r>
          </w:p>
        </w:tc>
        <w:tc>
          <w:tcPr>
            <w:tcW w:w="1388" w:type="pct"/>
            <w:vAlign w:val="center"/>
          </w:tcPr>
          <w:p w14:paraId="7982CCF3">
            <w:pPr>
              <w:spacing w:line="240" w:lineRule="auto"/>
              <w:ind w:firstLine="0" w:firstLineChars="0"/>
              <w:rPr>
                <w:sz w:val="21"/>
                <w:szCs w:val="21"/>
              </w:rPr>
            </w:pPr>
          </w:p>
        </w:tc>
        <w:tc>
          <w:tcPr>
            <w:tcW w:w="720" w:type="pct"/>
            <w:vMerge w:val="continue"/>
            <w:vAlign w:val="center"/>
          </w:tcPr>
          <w:p w14:paraId="68B85D91">
            <w:pPr>
              <w:widowControl/>
              <w:spacing w:line="240" w:lineRule="auto"/>
              <w:ind w:firstLine="0" w:firstLineChars="0"/>
              <w:jc w:val="left"/>
              <w:rPr>
                <w:rFonts w:eastAsia="等线"/>
                <w:sz w:val="21"/>
                <w:szCs w:val="21"/>
              </w:rPr>
            </w:pPr>
          </w:p>
        </w:tc>
      </w:tr>
      <w:tr w14:paraId="673A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719036F">
            <w:pPr>
              <w:spacing w:line="240" w:lineRule="auto"/>
              <w:ind w:firstLine="0" w:firstLineChars="0"/>
              <w:rPr>
                <w:sz w:val="21"/>
                <w:szCs w:val="21"/>
              </w:rPr>
            </w:pPr>
            <w:r>
              <w:rPr>
                <w:sz w:val="21"/>
                <w:szCs w:val="21"/>
              </w:rPr>
              <w:t>36</w:t>
            </w:r>
          </w:p>
        </w:tc>
        <w:tc>
          <w:tcPr>
            <w:tcW w:w="856" w:type="pct"/>
            <w:vAlign w:val="center"/>
          </w:tcPr>
          <w:p w14:paraId="70166830">
            <w:pPr>
              <w:spacing w:line="240" w:lineRule="auto"/>
              <w:ind w:firstLine="0" w:firstLineChars="0"/>
              <w:rPr>
                <w:sz w:val="21"/>
                <w:szCs w:val="21"/>
              </w:rPr>
            </w:pPr>
            <w:r>
              <w:rPr>
                <w:sz w:val="21"/>
                <w:szCs w:val="21"/>
              </w:rPr>
              <w:t>内蒙古林德科技有限公司</w:t>
            </w:r>
          </w:p>
        </w:tc>
        <w:tc>
          <w:tcPr>
            <w:tcW w:w="1388" w:type="pct"/>
            <w:vAlign w:val="center"/>
          </w:tcPr>
          <w:p w14:paraId="76E7162D">
            <w:pPr>
              <w:spacing w:line="240" w:lineRule="auto"/>
              <w:ind w:firstLine="0" w:firstLineChars="0"/>
              <w:rPr>
                <w:sz w:val="21"/>
                <w:szCs w:val="21"/>
              </w:rPr>
            </w:pPr>
            <w:r>
              <w:rPr>
                <w:sz w:val="21"/>
                <w:szCs w:val="21"/>
              </w:rPr>
              <w:t>年产智能水表、热量表等产品10万套</w:t>
            </w:r>
          </w:p>
        </w:tc>
        <w:tc>
          <w:tcPr>
            <w:tcW w:w="1388" w:type="pct"/>
            <w:vAlign w:val="center"/>
          </w:tcPr>
          <w:p w14:paraId="13A2BDDF">
            <w:pPr>
              <w:spacing w:line="240" w:lineRule="auto"/>
              <w:ind w:firstLine="0" w:firstLineChars="0"/>
              <w:rPr>
                <w:sz w:val="21"/>
                <w:szCs w:val="21"/>
              </w:rPr>
            </w:pPr>
            <w:r>
              <w:rPr>
                <w:sz w:val="21"/>
                <w:szCs w:val="21"/>
              </w:rPr>
              <w:t>仪表及控制阀类产品生产线</w:t>
            </w:r>
          </w:p>
        </w:tc>
        <w:tc>
          <w:tcPr>
            <w:tcW w:w="720" w:type="pct"/>
            <w:vAlign w:val="center"/>
          </w:tcPr>
          <w:p w14:paraId="2B64C013">
            <w:pPr>
              <w:spacing w:line="240" w:lineRule="auto"/>
              <w:ind w:firstLine="0" w:firstLineChars="0"/>
              <w:rPr>
                <w:sz w:val="21"/>
                <w:szCs w:val="21"/>
              </w:rPr>
            </w:pPr>
            <w:r>
              <w:rPr>
                <w:sz w:val="21"/>
                <w:szCs w:val="21"/>
              </w:rPr>
              <w:t>通用设备制造业</w:t>
            </w:r>
          </w:p>
        </w:tc>
      </w:tr>
      <w:tr w14:paraId="2444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C5F14E0">
            <w:pPr>
              <w:spacing w:line="240" w:lineRule="auto"/>
              <w:ind w:firstLine="0" w:firstLineChars="0"/>
              <w:rPr>
                <w:sz w:val="21"/>
                <w:szCs w:val="21"/>
              </w:rPr>
            </w:pPr>
            <w:r>
              <w:rPr>
                <w:sz w:val="21"/>
                <w:szCs w:val="21"/>
              </w:rPr>
              <w:t>37</w:t>
            </w:r>
          </w:p>
        </w:tc>
        <w:tc>
          <w:tcPr>
            <w:tcW w:w="856" w:type="pct"/>
            <w:vAlign w:val="center"/>
          </w:tcPr>
          <w:p w14:paraId="6D08A53C">
            <w:pPr>
              <w:spacing w:line="240" w:lineRule="auto"/>
              <w:ind w:firstLine="0" w:firstLineChars="0"/>
              <w:rPr>
                <w:sz w:val="21"/>
                <w:szCs w:val="21"/>
              </w:rPr>
            </w:pPr>
            <w:r>
              <w:rPr>
                <w:sz w:val="21"/>
                <w:szCs w:val="21"/>
              </w:rPr>
              <w:t>包头北方福泰激光新技术发展有限公司</w:t>
            </w:r>
          </w:p>
        </w:tc>
        <w:tc>
          <w:tcPr>
            <w:tcW w:w="1388" w:type="pct"/>
            <w:vAlign w:val="center"/>
          </w:tcPr>
          <w:p w14:paraId="5A52313E">
            <w:pPr>
              <w:spacing w:line="240" w:lineRule="auto"/>
              <w:ind w:firstLine="0" w:firstLineChars="0"/>
              <w:rPr>
                <w:sz w:val="21"/>
                <w:szCs w:val="21"/>
              </w:rPr>
            </w:pPr>
            <w:r>
              <w:rPr>
                <w:sz w:val="21"/>
                <w:szCs w:val="21"/>
              </w:rPr>
              <w:t>操纵台总成生产规模为 540t/a，前罩护栅总成生产规模为 540t/a，护罩生产规模为 30t/a，护板生产规模为 30t/a</w:t>
            </w:r>
          </w:p>
        </w:tc>
        <w:tc>
          <w:tcPr>
            <w:tcW w:w="1388" w:type="pct"/>
            <w:vAlign w:val="center"/>
          </w:tcPr>
          <w:p w14:paraId="36EE8270">
            <w:pPr>
              <w:spacing w:line="240" w:lineRule="auto"/>
              <w:ind w:firstLine="0" w:firstLineChars="0"/>
              <w:rPr>
                <w:sz w:val="21"/>
                <w:szCs w:val="21"/>
              </w:rPr>
            </w:pPr>
            <w:r>
              <w:rPr>
                <w:sz w:val="21"/>
                <w:szCs w:val="21"/>
              </w:rPr>
              <w:t>焊接、机械加工、切割、装配、喷砂、打磨、喷漆、烘干、喷塑、固化</w:t>
            </w:r>
          </w:p>
        </w:tc>
        <w:tc>
          <w:tcPr>
            <w:tcW w:w="720" w:type="pct"/>
            <w:vAlign w:val="center"/>
          </w:tcPr>
          <w:p w14:paraId="28EC7C5E">
            <w:pPr>
              <w:spacing w:line="240" w:lineRule="auto"/>
              <w:ind w:firstLine="0" w:firstLineChars="0"/>
              <w:rPr>
                <w:sz w:val="21"/>
                <w:szCs w:val="21"/>
              </w:rPr>
            </w:pPr>
            <w:r>
              <w:rPr>
                <w:sz w:val="21"/>
                <w:szCs w:val="21"/>
              </w:rPr>
              <w:t>通用设备制造业</w:t>
            </w:r>
          </w:p>
        </w:tc>
      </w:tr>
      <w:tr w14:paraId="2486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4F451F13">
            <w:pPr>
              <w:spacing w:line="240" w:lineRule="auto"/>
              <w:ind w:firstLine="0" w:firstLineChars="0"/>
              <w:rPr>
                <w:sz w:val="21"/>
                <w:szCs w:val="21"/>
              </w:rPr>
            </w:pPr>
            <w:r>
              <w:rPr>
                <w:sz w:val="21"/>
                <w:szCs w:val="21"/>
              </w:rPr>
              <w:t>38</w:t>
            </w:r>
          </w:p>
        </w:tc>
        <w:tc>
          <w:tcPr>
            <w:tcW w:w="856" w:type="pct"/>
            <w:vMerge w:val="restart"/>
            <w:vAlign w:val="center"/>
          </w:tcPr>
          <w:p w14:paraId="59207A8F">
            <w:pPr>
              <w:spacing w:line="240" w:lineRule="auto"/>
              <w:ind w:firstLine="0" w:firstLineChars="0"/>
              <w:rPr>
                <w:sz w:val="21"/>
                <w:szCs w:val="21"/>
              </w:rPr>
            </w:pPr>
            <w:r>
              <w:rPr>
                <w:sz w:val="21"/>
                <w:szCs w:val="21"/>
              </w:rPr>
              <w:t>包头市塞北机械设备有限责任公司</w:t>
            </w:r>
          </w:p>
        </w:tc>
        <w:tc>
          <w:tcPr>
            <w:tcW w:w="1388" w:type="pct"/>
            <w:vAlign w:val="center"/>
          </w:tcPr>
          <w:p w14:paraId="4D8B435F">
            <w:pPr>
              <w:spacing w:line="240" w:lineRule="auto"/>
              <w:ind w:firstLine="0" w:firstLineChars="0"/>
              <w:rPr>
                <w:sz w:val="21"/>
                <w:szCs w:val="21"/>
              </w:rPr>
            </w:pPr>
            <w:r>
              <w:rPr>
                <w:sz w:val="21"/>
                <w:szCs w:val="21"/>
              </w:rPr>
              <w:t>年产变速箱500套</w:t>
            </w:r>
          </w:p>
        </w:tc>
        <w:tc>
          <w:tcPr>
            <w:tcW w:w="1388" w:type="pct"/>
            <w:vAlign w:val="center"/>
          </w:tcPr>
          <w:p w14:paraId="51748BA3">
            <w:pPr>
              <w:spacing w:line="240" w:lineRule="auto"/>
              <w:ind w:firstLine="0" w:firstLineChars="0"/>
              <w:rPr>
                <w:sz w:val="21"/>
                <w:szCs w:val="21"/>
              </w:rPr>
            </w:pPr>
            <w:r>
              <w:rPr>
                <w:sz w:val="21"/>
                <w:szCs w:val="21"/>
              </w:rPr>
              <w:t>无喷漆工序，调质和氧化工序外委</w:t>
            </w:r>
          </w:p>
        </w:tc>
        <w:tc>
          <w:tcPr>
            <w:tcW w:w="720" w:type="pct"/>
            <w:vMerge w:val="restart"/>
            <w:vAlign w:val="center"/>
          </w:tcPr>
          <w:p w14:paraId="6D71DC51">
            <w:pPr>
              <w:spacing w:line="240" w:lineRule="auto"/>
              <w:ind w:firstLine="0" w:firstLineChars="0"/>
              <w:rPr>
                <w:sz w:val="21"/>
                <w:szCs w:val="21"/>
              </w:rPr>
            </w:pPr>
            <w:r>
              <w:rPr>
                <w:sz w:val="21"/>
                <w:szCs w:val="21"/>
              </w:rPr>
              <w:t>汽车制造业（汽车零部件及配件制造）</w:t>
            </w:r>
          </w:p>
        </w:tc>
      </w:tr>
      <w:tr w14:paraId="764C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160C00AE">
            <w:pPr>
              <w:widowControl/>
              <w:spacing w:line="240" w:lineRule="auto"/>
              <w:ind w:firstLine="0" w:firstLineChars="0"/>
              <w:jc w:val="left"/>
              <w:rPr>
                <w:rFonts w:eastAsia="等线"/>
                <w:sz w:val="21"/>
                <w:szCs w:val="21"/>
              </w:rPr>
            </w:pPr>
          </w:p>
        </w:tc>
        <w:tc>
          <w:tcPr>
            <w:tcW w:w="856" w:type="pct"/>
            <w:vMerge w:val="continue"/>
            <w:vAlign w:val="center"/>
          </w:tcPr>
          <w:p w14:paraId="1497E1D8">
            <w:pPr>
              <w:widowControl/>
              <w:spacing w:line="240" w:lineRule="auto"/>
              <w:ind w:firstLine="0" w:firstLineChars="0"/>
              <w:jc w:val="left"/>
              <w:rPr>
                <w:rFonts w:eastAsia="等线"/>
                <w:sz w:val="21"/>
                <w:szCs w:val="21"/>
              </w:rPr>
            </w:pPr>
          </w:p>
        </w:tc>
        <w:tc>
          <w:tcPr>
            <w:tcW w:w="1388" w:type="pct"/>
            <w:vAlign w:val="center"/>
          </w:tcPr>
          <w:p w14:paraId="27DAC534">
            <w:pPr>
              <w:spacing w:line="240" w:lineRule="auto"/>
              <w:ind w:firstLine="0" w:firstLineChars="0"/>
              <w:rPr>
                <w:sz w:val="21"/>
                <w:szCs w:val="21"/>
              </w:rPr>
            </w:pPr>
            <w:r>
              <w:rPr>
                <w:sz w:val="21"/>
                <w:szCs w:val="21"/>
              </w:rPr>
              <w:t>年生产2.5万条新型安全轮胎</w:t>
            </w:r>
          </w:p>
        </w:tc>
        <w:tc>
          <w:tcPr>
            <w:tcW w:w="1388" w:type="pct"/>
            <w:vAlign w:val="center"/>
          </w:tcPr>
          <w:p w14:paraId="5ECE2880">
            <w:pPr>
              <w:spacing w:line="240" w:lineRule="auto"/>
              <w:ind w:firstLine="0" w:firstLineChars="0"/>
              <w:rPr>
                <w:sz w:val="21"/>
                <w:szCs w:val="21"/>
              </w:rPr>
            </w:pPr>
            <w:r>
              <w:rPr>
                <w:sz w:val="21"/>
                <w:szCs w:val="21"/>
              </w:rPr>
              <w:t>粗铣、精铣、粗车、精车、打孔、表面处理、组装、充气保压测试、动平衡、称重、清理</w:t>
            </w:r>
          </w:p>
        </w:tc>
        <w:tc>
          <w:tcPr>
            <w:tcW w:w="720" w:type="pct"/>
            <w:vMerge w:val="continue"/>
            <w:vAlign w:val="center"/>
          </w:tcPr>
          <w:p w14:paraId="1D84FECA">
            <w:pPr>
              <w:widowControl/>
              <w:spacing w:line="240" w:lineRule="auto"/>
              <w:ind w:firstLine="0" w:firstLineChars="0"/>
              <w:jc w:val="left"/>
              <w:rPr>
                <w:rFonts w:eastAsia="等线"/>
                <w:sz w:val="21"/>
                <w:szCs w:val="21"/>
              </w:rPr>
            </w:pPr>
          </w:p>
        </w:tc>
      </w:tr>
      <w:tr w14:paraId="4C83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A271923">
            <w:pPr>
              <w:spacing w:line="240" w:lineRule="auto"/>
              <w:ind w:firstLine="0" w:firstLineChars="0"/>
              <w:rPr>
                <w:sz w:val="21"/>
                <w:szCs w:val="21"/>
              </w:rPr>
            </w:pPr>
            <w:r>
              <w:rPr>
                <w:sz w:val="21"/>
                <w:szCs w:val="21"/>
              </w:rPr>
              <w:t>39</w:t>
            </w:r>
          </w:p>
        </w:tc>
        <w:tc>
          <w:tcPr>
            <w:tcW w:w="856" w:type="pct"/>
            <w:vAlign w:val="center"/>
          </w:tcPr>
          <w:p w14:paraId="7EF020C6">
            <w:pPr>
              <w:spacing w:line="240" w:lineRule="auto"/>
              <w:ind w:firstLine="0" w:firstLineChars="0"/>
              <w:rPr>
                <w:sz w:val="21"/>
                <w:szCs w:val="21"/>
              </w:rPr>
            </w:pPr>
            <w:r>
              <w:rPr>
                <w:sz w:val="21"/>
                <w:szCs w:val="21"/>
              </w:rPr>
              <w:t>包头市鹿城公路机械制造股份有限公司</w:t>
            </w:r>
          </w:p>
        </w:tc>
        <w:tc>
          <w:tcPr>
            <w:tcW w:w="1388" w:type="pct"/>
            <w:vAlign w:val="center"/>
          </w:tcPr>
          <w:p w14:paraId="4FD87DE8">
            <w:pPr>
              <w:spacing w:line="240" w:lineRule="auto"/>
              <w:ind w:firstLine="0" w:firstLineChars="0"/>
              <w:rPr>
                <w:sz w:val="21"/>
                <w:szCs w:val="21"/>
              </w:rPr>
            </w:pPr>
            <w:r>
              <w:rPr>
                <w:sz w:val="21"/>
                <w:szCs w:val="21"/>
              </w:rPr>
              <w:t>年产沥青混凝土拌合设备10套、沥青冷再生设备12套、乳化沥青生产设备20套的生产能力及维修沥青混凝土拌合设备18套、维修改性沥青生产设备12套</w:t>
            </w:r>
          </w:p>
        </w:tc>
        <w:tc>
          <w:tcPr>
            <w:tcW w:w="1388" w:type="pct"/>
            <w:vAlign w:val="center"/>
          </w:tcPr>
          <w:p w14:paraId="2311D9DB">
            <w:pPr>
              <w:spacing w:line="240" w:lineRule="auto"/>
              <w:ind w:firstLine="0" w:firstLineChars="0"/>
              <w:rPr>
                <w:sz w:val="21"/>
                <w:szCs w:val="21"/>
              </w:rPr>
            </w:pPr>
            <w:r>
              <w:rPr>
                <w:sz w:val="21"/>
                <w:szCs w:val="21"/>
              </w:rPr>
              <w:t>以钢材为原料进行机械加工、焊接、刷漆</w:t>
            </w:r>
          </w:p>
        </w:tc>
        <w:tc>
          <w:tcPr>
            <w:tcW w:w="720" w:type="pct"/>
            <w:vAlign w:val="center"/>
          </w:tcPr>
          <w:p w14:paraId="4AB368A9">
            <w:pPr>
              <w:spacing w:line="240" w:lineRule="auto"/>
              <w:ind w:firstLine="0" w:firstLineChars="0"/>
              <w:rPr>
                <w:sz w:val="21"/>
                <w:szCs w:val="21"/>
              </w:rPr>
            </w:pPr>
            <w:r>
              <w:rPr>
                <w:sz w:val="21"/>
                <w:szCs w:val="21"/>
              </w:rPr>
              <w:t>专用设备制造业</w:t>
            </w:r>
          </w:p>
        </w:tc>
      </w:tr>
      <w:tr w14:paraId="5140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051E42D">
            <w:pPr>
              <w:spacing w:line="240" w:lineRule="auto"/>
              <w:ind w:firstLine="0" w:firstLineChars="0"/>
              <w:rPr>
                <w:sz w:val="21"/>
                <w:szCs w:val="21"/>
              </w:rPr>
            </w:pPr>
            <w:r>
              <w:rPr>
                <w:sz w:val="21"/>
                <w:szCs w:val="21"/>
              </w:rPr>
              <w:t>40</w:t>
            </w:r>
          </w:p>
        </w:tc>
        <w:tc>
          <w:tcPr>
            <w:tcW w:w="856" w:type="pct"/>
            <w:vAlign w:val="center"/>
          </w:tcPr>
          <w:p w14:paraId="3BE3C96D">
            <w:pPr>
              <w:spacing w:line="240" w:lineRule="auto"/>
              <w:ind w:firstLine="0" w:firstLineChars="0"/>
              <w:rPr>
                <w:sz w:val="21"/>
                <w:szCs w:val="21"/>
              </w:rPr>
            </w:pPr>
            <w:r>
              <w:rPr>
                <w:sz w:val="21"/>
                <w:szCs w:val="21"/>
              </w:rPr>
              <w:t>包头市顺广成机械有限责任公司</w:t>
            </w:r>
          </w:p>
        </w:tc>
        <w:tc>
          <w:tcPr>
            <w:tcW w:w="1388" w:type="pct"/>
            <w:vAlign w:val="center"/>
          </w:tcPr>
          <w:p w14:paraId="0AD65CAB">
            <w:pPr>
              <w:spacing w:line="240" w:lineRule="auto"/>
              <w:ind w:firstLine="0" w:firstLineChars="0"/>
              <w:rPr>
                <w:sz w:val="21"/>
                <w:szCs w:val="21"/>
              </w:rPr>
            </w:pPr>
            <w:r>
              <w:rPr>
                <w:sz w:val="21"/>
                <w:szCs w:val="21"/>
              </w:rPr>
              <w:t>年产摇枕500套、侧架500件、曲轴1000件、端壳1000件、煤机支架50套</w:t>
            </w:r>
          </w:p>
        </w:tc>
        <w:tc>
          <w:tcPr>
            <w:tcW w:w="1388" w:type="pct"/>
            <w:vAlign w:val="center"/>
          </w:tcPr>
          <w:p w14:paraId="6FBFCF41">
            <w:pPr>
              <w:spacing w:line="240" w:lineRule="auto"/>
              <w:ind w:firstLine="0" w:firstLineChars="0"/>
              <w:rPr>
                <w:sz w:val="21"/>
                <w:szCs w:val="21"/>
              </w:rPr>
            </w:pPr>
            <w:r>
              <w:rPr>
                <w:sz w:val="21"/>
                <w:szCs w:val="21"/>
              </w:rPr>
              <w:t>对原料行机械加工即成成品，无喷漆</w:t>
            </w:r>
          </w:p>
        </w:tc>
        <w:tc>
          <w:tcPr>
            <w:tcW w:w="720" w:type="pct"/>
            <w:vAlign w:val="center"/>
          </w:tcPr>
          <w:p w14:paraId="6647510D">
            <w:pPr>
              <w:spacing w:line="240" w:lineRule="auto"/>
              <w:ind w:firstLine="0" w:firstLineChars="0"/>
              <w:rPr>
                <w:sz w:val="21"/>
                <w:szCs w:val="21"/>
              </w:rPr>
            </w:pPr>
            <w:r>
              <w:rPr>
                <w:sz w:val="21"/>
                <w:szCs w:val="21"/>
              </w:rPr>
              <w:t>专用设备制造业</w:t>
            </w:r>
          </w:p>
        </w:tc>
      </w:tr>
      <w:tr w14:paraId="6C9D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F27B3D9">
            <w:pPr>
              <w:spacing w:line="240" w:lineRule="auto"/>
              <w:ind w:firstLine="0" w:firstLineChars="0"/>
              <w:rPr>
                <w:sz w:val="21"/>
                <w:szCs w:val="21"/>
              </w:rPr>
            </w:pPr>
            <w:r>
              <w:rPr>
                <w:sz w:val="21"/>
                <w:szCs w:val="21"/>
              </w:rPr>
              <w:t>41</w:t>
            </w:r>
          </w:p>
        </w:tc>
        <w:tc>
          <w:tcPr>
            <w:tcW w:w="856" w:type="pct"/>
            <w:vAlign w:val="center"/>
          </w:tcPr>
          <w:p w14:paraId="4A565FE7">
            <w:pPr>
              <w:spacing w:line="240" w:lineRule="auto"/>
              <w:ind w:firstLine="0" w:firstLineChars="0"/>
              <w:rPr>
                <w:sz w:val="21"/>
                <w:szCs w:val="21"/>
              </w:rPr>
            </w:pPr>
            <w:r>
              <w:rPr>
                <w:sz w:val="21"/>
                <w:szCs w:val="21"/>
              </w:rPr>
              <w:t>内蒙古新远重型机械制造有限责任公司</w:t>
            </w:r>
          </w:p>
        </w:tc>
        <w:tc>
          <w:tcPr>
            <w:tcW w:w="1388" w:type="pct"/>
            <w:vAlign w:val="center"/>
          </w:tcPr>
          <w:p w14:paraId="32DB7FF0">
            <w:pPr>
              <w:spacing w:line="240" w:lineRule="auto"/>
              <w:ind w:firstLine="0" w:firstLineChars="0"/>
              <w:rPr>
                <w:sz w:val="21"/>
                <w:szCs w:val="21"/>
              </w:rPr>
            </w:pPr>
            <w:r>
              <w:rPr>
                <w:sz w:val="21"/>
                <w:szCs w:val="21"/>
              </w:rPr>
              <w:t>年产电铲铲斗20台、各类电铲配件200多种</w:t>
            </w:r>
          </w:p>
        </w:tc>
        <w:tc>
          <w:tcPr>
            <w:tcW w:w="1388" w:type="pct"/>
            <w:vAlign w:val="center"/>
          </w:tcPr>
          <w:p w14:paraId="2CC3ECBE">
            <w:pPr>
              <w:spacing w:line="240" w:lineRule="auto"/>
              <w:ind w:firstLine="0" w:firstLineChars="0"/>
              <w:rPr>
                <w:sz w:val="21"/>
                <w:szCs w:val="21"/>
              </w:rPr>
            </w:pPr>
            <w:r>
              <w:rPr>
                <w:sz w:val="21"/>
                <w:szCs w:val="21"/>
              </w:rPr>
              <w:t>以成品钢材为原料，经机械加工即成产品，无喷漆工序</w:t>
            </w:r>
          </w:p>
        </w:tc>
        <w:tc>
          <w:tcPr>
            <w:tcW w:w="720" w:type="pct"/>
            <w:vAlign w:val="center"/>
          </w:tcPr>
          <w:p w14:paraId="131B7E7E">
            <w:pPr>
              <w:spacing w:line="240" w:lineRule="auto"/>
              <w:ind w:firstLine="0" w:firstLineChars="0"/>
              <w:rPr>
                <w:sz w:val="21"/>
                <w:szCs w:val="21"/>
              </w:rPr>
            </w:pPr>
            <w:r>
              <w:rPr>
                <w:sz w:val="21"/>
                <w:szCs w:val="21"/>
              </w:rPr>
              <w:t>专用设备制造业</w:t>
            </w:r>
          </w:p>
        </w:tc>
      </w:tr>
      <w:tr w14:paraId="40EB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FB07748">
            <w:pPr>
              <w:spacing w:line="240" w:lineRule="auto"/>
              <w:ind w:firstLine="0" w:firstLineChars="0"/>
              <w:rPr>
                <w:sz w:val="21"/>
                <w:szCs w:val="21"/>
              </w:rPr>
            </w:pPr>
            <w:r>
              <w:rPr>
                <w:sz w:val="21"/>
                <w:szCs w:val="21"/>
              </w:rPr>
              <w:t>42</w:t>
            </w:r>
          </w:p>
        </w:tc>
        <w:tc>
          <w:tcPr>
            <w:tcW w:w="856" w:type="pct"/>
            <w:vAlign w:val="center"/>
          </w:tcPr>
          <w:p w14:paraId="1E7C2236">
            <w:pPr>
              <w:spacing w:line="240" w:lineRule="auto"/>
              <w:ind w:firstLine="0" w:firstLineChars="0"/>
              <w:rPr>
                <w:sz w:val="21"/>
                <w:szCs w:val="21"/>
              </w:rPr>
            </w:pPr>
            <w:r>
              <w:rPr>
                <w:sz w:val="21"/>
                <w:szCs w:val="21"/>
              </w:rPr>
              <w:t>包头市强盛工业锅炉制造有限公司</w:t>
            </w:r>
          </w:p>
        </w:tc>
        <w:tc>
          <w:tcPr>
            <w:tcW w:w="1388" w:type="pct"/>
            <w:vAlign w:val="center"/>
          </w:tcPr>
          <w:p w14:paraId="3B3DFF84">
            <w:pPr>
              <w:spacing w:line="240" w:lineRule="auto"/>
              <w:ind w:firstLine="0" w:firstLineChars="0"/>
              <w:rPr>
                <w:sz w:val="21"/>
                <w:szCs w:val="21"/>
              </w:rPr>
            </w:pPr>
            <w:r>
              <w:rPr>
                <w:sz w:val="21"/>
                <w:szCs w:val="21"/>
              </w:rPr>
              <w:t>年产压力容器 10 台/a（一、二类压力容器）、工业锅炉 20 台</w:t>
            </w:r>
          </w:p>
        </w:tc>
        <w:tc>
          <w:tcPr>
            <w:tcW w:w="1388" w:type="pct"/>
            <w:vAlign w:val="center"/>
          </w:tcPr>
          <w:p w14:paraId="0F6B75FF">
            <w:pPr>
              <w:spacing w:line="240" w:lineRule="auto"/>
              <w:ind w:firstLine="0" w:firstLineChars="0"/>
              <w:rPr>
                <w:sz w:val="21"/>
                <w:szCs w:val="21"/>
              </w:rPr>
            </w:pPr>
          </w:p>
        </w:tc>
        <w:tc>
          <w:tcPr>
            <w:tcW w:w="720" w:type="pct"/>
            <w:vAlign w:val="center"/>
          </w:tcPr>
          <w:p w14:paraId="3CA40439">
            <w:pPr>
              <w:spacing w:line="240" w:lineRule="auto"/>
              <w:ind w:firstLine="0" w:firstLineChars="0"/>
              <w:rPr>
                <w:sz w:val="21"/>
                <w:szCs w:val="21"/>
              </w:rPr>
            </w:pPr>
            <w:r>
              <w:rPr>
                <w:sz w:val="21"/>
                <w:szCs w:val="21"/>
              </w:rPr>
              <w:t>通用设备制造业</w:t>
            </w:r>
          </w:p>
        </w:tc>
      </w:tr>
      <w:tr w14:paraId="4DD3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D20185B">
            <w:pPr>
              <w:spacing w:line="240" w:lineRule="auto"/>
              <w:ind w:firstLine="0" w:firstLineChars="0"/>
              <w:rPr>
                <w:sz w:val="21"/>
                <w:szCs w:val="21"/>
              </w:rPr>
            </w:pPr>
            <w:r>
              <w:rPr>
                <w:sz w:val="21"/>
                <w:szCs w:val="21"/>
              </w:rPr>
              <w:t>43</w:t>
            </w:r>
          </w:p>
        </w:tc>
        <w:tc>
          <w:tcPr>
            <w:tcW w:w="856" w:type="pct"/>
            <w:vAlign w:val="center"/>
          </w:tcPr>
          <w:p w14:paraId="341CCDE9">
            <w:pPr>
              <w:spacing w:line="240" w:lineRule="auto"/>
              <w:ind w:firstLine="0" w:firstLineChars="0"/>
              <w:rPr>
                <w:sz w:val="21"/>
                <w:szCs w:val="21"/>
              </w:rPr>
            </w:pPr>
            <w:r>
              <w:rPr>
                <w:sz w:val="21"/>
                <w:szCs w:val="21"/>
              </w:rPr>
              <w:t>包头市青盛汽车配件制造有限责任公司</w:t>
            </w:r>
          </w:p>
        </w:tc>
        <w:tc>
          <w:tcPr>
            <w:tcW w:w="1388" w:type="pct"/>
            <w:vAlign w:val="center"/>
          </w:tcPr>
          <w:p w14:paraId="7AEFDF82">
            <w:pPr>
              <w:spacing w:line="240" w:lineRule="auto"/>
              <w:ind w:firstLine="0" w:firstLineChars="0"/>
              <w:rPr>
                <w:sz w:val="21"/>
                <w:szCs w:val="21"/>
              </w:rPr>
            </w:pPr>
            <w:r>
              <w:rPr>
                <w:sz w:val="21"/>
                <w:szCs w:val="21"/>
              </w:rPr>
              <w:t>年产8万套中、重、轻型卡车车架</w:t>
            </w:r>
          </w:p>
        </w:tc>
        <w:tc>
          <w:tcPr>
            <w:tcW w:w="1388" w:type="pct"/>
            <w:vAlign w:val="center"/>
          </w:tcPr>
          <w:p w14:paraId="470FC1E8">
            <w:pPr>
              <w:spacing w:line="240" w:lineRule="auto"/>
              <w:ind w:firstLine="0" w:firstLineChars="0"/>
              <w:rPr>
                <w:sz w:val="21"/>
                <w:szCs w:val="21"/>
              </w:rPr>
            </w:pPr>
            <w:r>
              <w:rPr>
                <w:sz w:val="21"/>
                <w:szCs w:val="21"/>
              </w:rPr>
              <w:t>以钢板为原料，经过机械加工即成产品，无喷漆</w:t>
            </w:r>
          </w:p>
        </w:tc>
        <w:tc>
          <w:tcPr>
            <w:tcW w:w="720" w:type="pct"/>
            <w:vAlign w:val="center"/>
          </w:tcPr>
          <w:p w14:paraId="7653592E">
            <w:pPr>
              <w:spacing w:line="240" w:lineRule="auto"/>
              <w:ind w:firstLine="0" w:firstLineChars="0"/>
              <w:rPr>
                <w:sz w:val="21"/>
                <w:szCs w:val="21"/>
              </w:rPr>
            </w:pPr>
            <w:r>
              <w:rPr>
                <w:sz w:val="21"/>
                <w:szCs w:val="21"/>
              </w:rPr>
              <w:t>汽车制造业</w:t>
            </w:r>
          </w:p>
        </w:tc>
      </w:tr>
      <w:tr w14:paraId="3DFC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E505DE0">
            <w:pPr>
              <w:spacing w:line="240" w:lineRule="auto"/>
              <w:ind w:firstLine="0" w:firstLineChars="0"/>
              <w:rPr>
                <w:sz w:val="21"/>
                <w:szCs w:val="21"/>
              </w:rPr>
            </w:pPr>
            <w:r>
              <w:rPr>
                <w:sz w:val="21"/>
                <w:szCs w:val="21"/>
              </w:rPr>
              <w:t>44</w:t>
            </w:r>
          </w:p>
        </w:tc>
        <w:tc>
          <w:tcPr>
            <w:tcW w:w="856" w:type="pct"/>
            <w:vAlign w:val="center"/>
          </w:tcPr>
          <w:p w14:paraId="50517790">
            <w:pPr>
              <w:spacing w:line="240" w:lineRule="auto"/>
              <w:ind w:firstLine="0" w:firstLineChars="0"/>
              <w:rPr>
                <w:sz w:val="21"/>
                <w:szCs w:val="21"/>
              </w:rPr>
            </w:pPr>
            <w:r>
              <w:rPr>
                <w:sz w:val="21"/>
                <w:szCs w:val="21"/>
              </w:rPr>
              <w:t>包头市苍松消防器材制造有限公司</w:t>
            </w:r>
          </w:p>
        </w:tc>
        <w:tc>
          <w:tcPr>
            <w:tcW w:w="1388" w:type="pct"/>
            <w:vAlign w:val="center"/>
          </w:tcPr>
          <w:p w14:paraId="0504D03E">
            <w:pPr>
              <w:spacing w:line="240" w:lineRule="auto"/>
              <w:ind w:firstLine="0" w:firstLineChars="0"/>
              <w:rPr>
                <w:sz w:val="21"/>
                <w:szCs w:val="21"/>
              </w:rPr>
            </w:pPr>
            <w:r>
              <w:rPr>
                <w:sz w:val="21"/>
                <w:szCs w:val="21"/>
              </w:rPr>
              <w:t>年产手提式干粉灭火器200万具、推车式干粉灭火器5万台、各种消火栓箱3万台（套）、水系灭火器15万具、ABC干粉灭火剂7000吨</w:t>
            </w:r>
          </w:p>
        </w:tc>
        <w:tc>
          <w:tcPr>
            <w:tcW w:w="1388" w:type="pct"/>
            <w:vAlign w:val="center"/>
          </w:tcPr>
          <w:p w14:paraId="71B627E4">
            <w:pPr>
              <w:spacing w:line="240" w:lineRule="auto"/>
              <w:ind w:firstLine="0" w:firstLineChars="0"/>
              <w:rPr>
                <w:sz w:val="21"/>
                <w:szCs w:val="21"/>
              </w:rPr>
            </w:pPr>
            <w:r>
              <w:rPr>
                <w:sz w:val="21"/>
                <w:szCs w:val="21"/>
              </w:rPr>
              <w:t>雷蒙麿、烘干机、焊机、冲床、车床等</w:t>
            </w:r>
          </w:p>
        </w:tc>
        <w:tc>
          <w:tcPr>
            <w:tcW w:w="720" w:type="pct"/>
            <w:vAlign w:val="center"/>
          </w:tcPr>
          <w:p w14:paraId="015C9C90">
            <w:pPr>
              <w:spacing w:line="240" w:lineRule="auto"/>
              <w:ind w:firstLine="0" w:firstLineChars="0"/>
              <w:rPr>
                <w:sz w:val="21"/>
                <w:szCs w:val="21"/>
              </w:rPr>
            </w:pPr>
            <w:r>
              <w:rPr>
                <w:sz w:val="21"/>
                <w:szCs w:val="21"/>
              </w:rPr>
              <w:t>专用设备制造业</w:t>
            </w:r>
          </w:p>
        </w:tc>
      </w:tr>
      <w:tr w14:paraId="7C73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CFAF941">
            <w:pPr>
              <w:spacing w:line="240" w:lineRule="auto"/>
              <w:ind w:firstLine="0" w:firstLineChars="0"/>
              <w:rPr>
                <w:sz w:val="21"/>
                <w:szCs w:val="21"/>
              </w:rPr>
            </w:pPr>
            <w:r>
              <w:rPr>
                <w:sz w:val="21"/>
                <w:szCs w:val="21"/>
              </w:rPr>
              <w:t>45</w:t>
            </w:r>
          </w:p>
        </w:tc>
        <w:tc>
          <w:tcPr>
            <w:tcW w:w="856" w:type="pct"/>
            <w:vAlign w:val="center"/>
          </w:tcPr>
          <w:p w14:paraId="4FB09D88">
            <w:pPr>
              <w:spacing w:line="240" w:lineRule="auto"/>
              <w:ind w:firstLine="0" w:firstLineChars="0"/>
              <w:rPr>
                <w:sz w:val="21"/>
                <w:szCs w:val="21"/>
              </w:rPr>
            </w:pPr>
            <w:r>
              <w:rPr>
                <w:sz w:val="21"/>
                <w:szCs w:val="21"/>
              </w:rPr>
              <w:t>内蒙古蒙元大帝生物科技有限公司</w:t>
            </w:r>
          </w:p>
        </w:tc>
        <w:tc>
          <w:tcPr>
            <w:tcW w:w="1388" w:type="pct"/>
            <w:vAlign w:val="center"/>
          </w:tcPr>
          <w:p w14:paraId="675339A3">
            <w:pPr>
              <w:spacing w:line="240" w:lineRule="auto"/>
              <w:ind w:firstLine="0" w:firstLineChars="0"/>
              <w:rPr>
                <w:sz w:val="21"/>
                <w:szCs w:val="21"/>
              </w:rPr>
            </w:pPr>
            <w:r>
              <w:rPr>
                <w:sz w:val="21"/>
                <w:szCs w:val="21"/>
              </w:rPr>
              <w:t>日处理牛初乳200吨、马奶100吨，即生产牛初乳冻干粉20吨/天，马奶冻干粉10吨/天</w:t>
            </w:r>
          </w:p>
        </w:tc>
        <w:tc>
          <w:tcPr>
            <w:tcW w:w="1388" w:type="pct"/>
            <w:vAlign w:val="center"/>
          </w:tcPr>
          <w:p w14:paraId="442F7346">
            <w:pPr>
              <w:spacing w:line="240" w:lineRule="auto"/>
              <w:ind w:firstLine="0" w:firstLineChars="0"/>
              <w:rPr>
                <w:sz w:val="21"/>
                <w:szCs w:val="21"/>
              </w:rPr>
            </w:pPr>
            <w:r>
              <w:rPr>
                <w:sz w:val="21"/>
                <w:szCs w:val="21"/>
              </w:rPr>
              <w:t>包括脱脂、巴氏灭菌、冻干和粉碎等生产工艺</w:t>
            </w:r>
          </w:p>
        </w:tc>
        <w:tc>
          <w:tcPr>
            <w:tcW w:w="720" w:type="pct"/>
            <w:vAlign w:val="center"/>
          </w:tcPr>
          <w:p w14:paraId="23212591">
            <w:pPr>
              <w:spacing w:line="240" w:lineRule="auto"/>
              <w:ind w:firstLine="0" w:firstLineChars="0"/>
              <w:rPr>
                <w:sz w:val="21"/>
                <w:szCs w:val="21"/>
              </w:rPr>
            </w:pPr>
            <w:r>
              <w:rPr>
                <w:sz w:val="21"/>
                <w:szCs w:val="21"/>
              </w:rPr>
              <w:t>食品制造业</w:t>
            </w:r>
          </w:p>
        </w:tc>
      </w:tr>
      <w:tr w14:paraId="3D84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7BC18A5">
            <w:pPr>
              <w:spacing w:line="240" w:lineRule="auto"/>
              <w:ind w:firstLine="0" w:firstLineChars="0"/>
              <w:rPr>
                <w:sz w:val="21"/>
                <w:szCs w:val="21"/>
              </w:rPr>
            </w:pPr>
            <w:r>
              <w:rPr>
                <w:sz w:val="21"/>
                <w:szCs w:val="21"/>
              </w:rPr>
              <w:t>46</w:t>
            </w:r>
          </w:p>
        </w:tc>
        <w:tc>
          <w:tcPr>
            <w:tcW w:w="856" w:type="pct"/>
            <w:vAlign w:val="center"/>
          </w:tcPr>
          <w:p w14:paraId="3BD8CC3E">
            <w:pPr>
              <w:spacing w:line="240" w:lineRule="auto"/>
              <w:ind w:firstLine="0" w:firstLineChars="0"/>
              <w:rPr>
                <w:sz w:val="21"/>
                <w:szCs w:val="21"/>
              </w:rPr>
            </w:pPr>
            <w:r>
              <w:rPr>
                <w:sz w:val="21"/>
                <w:szCs w:val="21"/>
              </w:rPr>
              <w:t>内蒙古北化浩绅科技有限公司</w:t>
            </w:r>
          </w:p>
        </w:tc>
        <w:tc>
          <w:tcPr>
            <w:tcW w:w="1388" w:type="pct"/>
            <w:vAlign w:val="center"/>
          </w:tcPr>
          <w:p w14:paraId="612ADD55">
            <w:pPr>
              <w:spacing w:line="240" w:lineRule="auto"/>
              <w:ind w:firstLine="0" w:firstLineChars="0"/>
              <w:rPr>
                <w:sz w:val="21"/>
                <w:szCs w:val="21"/>
              </w:rPr>
            </w:pPr>
            <w:r>
              <w:rPr>
                <w:sz w:val="21"/>
                <w:szCs w:val="21"/>
              </w:rPr>
              <w:t>年产2万吨胶粉</w:t>
            </w:r>
          </w:p>
        </w:tc>
        <w:tc>
          <w:tcPr>
            <w:tcW w:w="1388" w:type="pct"/>
            <w:vAlign w:val="center"/>
          </w:tcPr>
          <w:p w14:paraId="380283F5">
            <w:pPr>
              <w:spacing w:line="240" w:lineRule="auto"/>
              <w:ind w:firstLine="0" w:firstLineChars="0"/>
              <w:rPr>
                <w:sz w:val="21"/>
                <w:szCs w:val="21"/>
              </w:rPr>
            </w:pPr>
            <w:r>
              <w:rPr>
                <w:sz w:val="21"/>
                <w:szCs w:val="21"/>
              </w:rPr>
              <w:t>1条破碎、磨粉生产线</w:t>
            </w:r>
          </w:p>
        </w:tc>
        <w:tc>
          <w:tcPr>
            <w:tcW w:w="720" w:type="pct"/>
            <w:vAlign w:val="center"/>
          </w:tcPr>
          <w:p w14:paraId="111EDD03">
            <w:pPr>
              <w:spacing w:line="240" w:lineRule="auto"/>
              <w:ind w:firstLine="0" w:firstLineChars="0"/>
              <w:rPr>
                <w:sz w:val="21"/>
                <w:szCs w:val="21"/>
              </w:rPr>
            </w:pPr>
            <w:r>
              <w:rPr>
                <w:sz w:val="21"/>
                <w:szCs w:val="21"/>
              </w:rPr>
              <w:t>废弃资源综合利用业</w:t>
            </w:r>
          </w:p>
        </w:tc>
      </w:tr>
      <w:tr w14:paraId="32BE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6264B09">
            <w:pPr>
              <w:spacing w:line="240" w:lineRule="auto"/>
              <w:ind w:firstLine="0" w:firstLineChars="0"/>
              <w:rPr>
                <w:sz w:val="21"/>
                <w:szCs w:val="21"/>
              </w:rPr>
            </w:pPr>
            <w:r>
              <w:rPr>
                <w:sz w:val="21"/>
                <w:szCs w:val="21"/>
              </w:rPr>
              <w:t>47</w:t>
            </w:r>
          </w:p>
        </w:tc>
        <w:tc>
          <w:tcPr>
            <w:tcW w:w="856" w:type="pct"/>
            <w:vAlign w:val="center"/>
          </w:tcPr>
          <w:p w14:paraId="47F25921">
            <w:pPr>
              <w:spacing w:line="240" w:lineRule="auto"/>
              <w:ind w:firstLine="0" w:firstLineChars="0"/>
              <w:rPr>
                <w:sz w:val="21"/>
                <w:szCs w:val="21"/>
              </w:rPr>
            </w:pPr>
            <w:r>
              <w:rPr>
                <w:sz w:val="21"/>
                <w:szCs w:val="21"/>
              </w:rPr>
              <w:t>包头市瑞晟化工机械产品有限责任公司</w:t>
            </w:r>
          </w:p>
        </w:tc>
        <w:tc>
          <w:tcPr>
            <w:tcW w:w="1388" w:type="pct"/>
            <w:vAlign w:val="center"/>
          </w:tcPr>
          <w:p w14:paraId="4795718D">
            <w:pPr>
              <w:spacing w:line="240" w:lineRule="auto"/>
              <w:ind w:firstLine="0" w:firstLineChars="0"/>
              <w:rPr>
                <w:sz w:val="21"/>
                <w:szCs w:val="21"/>
              </w:rPr>
            </w:pPr>
            <w:r>
              <w:rPr>
                <w:sz w:val="21"/>
                <w:szCs w:val="21"/>
              </w:rPr>
              <w:t>年产8万支重卡差速器壳体、20万支中心毂</w:t>
            </w:r>
          </w:p>
        </w:tc>
        <w:tc>
          <w:tcPr>
            <w:tcW w:w="1388" w:type="pct"/>
            <w:vAlign w:val="center"/>
          </w:tcPr>
          <w:p w14:paraId="304EC93D">
            <w:pPr>
              <w:spacing w:line="240" w:lineRule="auto"/>
              <w:ind w:firstLine="0" w:firstLineChars="0"/>
              <w:rPr>
                <w:sz w:val="21"/>
                <w:szCs w:val="21"/>
              </w:rPr>
            </w:pPr>
            <w:r>
              <w:rPr>
                <w:sz w:val="21"/>
                <w:szCs w:val="21"/>
              </w:rPr>
              <w:t>对毛坯进行机械加工即成成品，无喷漆</w:t>
            </w:r>
          </w:p>
        </w:tc>
        <w:tc>
          <w:tcPr>
            <w:tcW w:w="720" w:type="pct"/>
            <w:vAlign w:val="center"/>
          </w:tcPr>
          <w:p w14:paraId="4EC696D7">
            <w:pPr>
              <w:spacing w:line="240" w:lineRule="auto"/>
              <w:ind w:firstLine="0" w:firstLineChars="0"/>
              <w:rPr>
                <w:sz w:val="21"/>
                <w:szCs w:val="21"/>
              </w:rPr>
            </w:pPr>
            <w:r>
              <w:rPr>
                <w:sz w:val="21"/>
                <w:szCs w:val="21"/>
              </w:rPr>
              <w:t>汽车制造业（汽车零部件及配件制造）</w:t>
            </w:r>
          </w:p>
        </w:tc>
      </w:tr>
      <w:tr w14:paraId="7C52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5F20356">
            <w:pPr>
              <w:spacing w:line="240" w:lineRule="auto"/>
              <w:ind w:firstLine="0" w:firstLineChars="0"/>
              <w:rPr>
                <w:sz w:val="21"/>
                <w:szCs w:val="21"/>
              </w:rPr>
            </w:pPr>
            <w:r>
              <w:rPr>
                <w:sz w:val="21"/>
                <w:szCs w:val="21"/>
              </w:rPr>
              <w:t>48</w:t>
            </w:r>
          </w:p>
        </w:tc>
        <w:tc>
          <w:tcPr>
            <w:tcW w:w="856" w:type="pct"/>
            <w:vAlign w:val="center"/>
          </w:tcPr>
          <w:p w14:paraId="5DAB56FE">
            <w:pPr>
              <w:spacing w:line="240" w:lineRule="auto"/>
              <w:ind w:firstLine="0" w:firstLineChars="0"/>
              <w:rPr>
                <w:sz w:val="21"/>
                <w:szCs w:val="21"/>
              </w:rPr>
            </w:pPr>
            <w:r>
              <w:rPr>
                <w:sz w:val="21"/>
                <w:szCs w:val="21"/>
              </w:rPr>
              <w:t>内蒙古润立宝废旧物资有限公司</w:t>
            </w:r>
          </w:p>
        </w:tc>
        <w:tc>
          <w:tcPr>
            <w:tcW w:w="1388" w:type="pct"/>
            <w:vAlign w:val="center"/>
          </w:tcPr>
          <w:p w14:paraId="2FF3C2A4">
            <w:pPr>
              <w:spacing w:line="240" w:lineRule="auto"/>
              <w:ind w:firstLine="0" w:firstLineChars="0"/>
              <w:rPr>
                <w:sz w:val="21"/>
                <w:szCs w:val="21"/>
              </w:rPr>
            </w:pPr>
            <w:r>
              <w:rPr>
                <w:sz w:val="21"/>
                <w:szCs w:val="21"/>
              </w:rPr>
              <w:t>年收集、贮存、运输年经营废旧铅酸蓄电池4万吨</w:t>
            </w:r>
          </w:p>
        </w:tc>
        <w:tc>
          <w:tcPr>
            <w:tcW w:w="1388" w:type="pct"/>
            <w:vAlign w:val="center"/>
          </w:tcPr>
          <w:p w14:paraId="09B2460C">
            <w:pPr>
              <w:spacing w:line="240" w:lineRule="auto"/>
              <w:ind w:firstLine="0" w:firstLineChars="0"/>
              <w:rPr>
                <w:sz w:val="21"/>
                <w:szCs w:val="21"/>
              </w:rPr>
            </w:pPr>
          </w:p>
        </w:tc>
        <w:tc>
          <w:tcPr>
            <w:tcW w:w="720" w:type="pct"/>
            <w:vAlign w:val="center"/>
          </w:tcPr>
          <w:p w14:paraId="407FE767">
            <w:pPr>
              <w:spacing w:line="240" w:lineRule="auto"/>
              <w:ind w:firstLine="0" w:firstLineChars="0"/>
              <w:rPr>
                <w:sz w:val="21"/>
                <w:szCs w:val="21"/>
              </w:rPr>
            </w:pPr>
            <w:r>
              <w:rPr>
                <w:sz w:val="21"/>
                <w:szCs w:val="21"/>
              </w:rPr>
              <w:t>生态保护和环境治理业</w:t>
            </w:r>
          </w:p>
        </w:tc>
      </w:tr>
      <w:tr w14:paraId="107A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5FC07168">
            <w:pPr>
              <w:spacing w:line="240" w:lineRule="auto"/>
              <w:ind w:firstLine="0" w:firstLineChars="0"/>
              <w:rPr>
                <w:sz w:val="21"/>
                <w:szCs w:val="21"/>
              </w:rPr>
            </w:pPr>
            <w:r>
              <w:rPr>
                <w:sz w:val="21"/>
                <w:szCs w:val="21"/>
              </w:rPr>
              <w:t>49</w:t>
            </w:r>
          </w:p>
        </w:tc>
        <w:tc>
          <w:tcPr>
            <w:tcW w:w="856" w:type="pct"/>
            <w:vMerge w:val="restart"/>
            <w:vAlign w:val="center"/>
          </w:tcPr>
          <w:p w14:paraId="4E650A00">
            <w:pPr>
              <w:spacing w:line="240" w:lineRule="auto"/>
              <w:ind w:firstLine="0" w:firstLineChars="0"/>
              <w:rPr>
                <w:sz w:val="21"/>
                <w:szCs w:val="21"/>
              </w:rPr>
            </w:pPr>
            <w:r>
              <w:rPr>
                <w:sz w:val="21"/>
                <w:szCs w:val="21"/>
              </w:rPr>
              <w:t>包头市九华钢结构制品有限责任公司</w:t>
            </w:r>
          </w:p>
        </w:tc>
        <w:tc>
          <w:tcPr>
            <w:tcW w:w="1388" w:type="pct"/>
            <w:vAlign w:val="center"/>
          </w:tcPr>
          <w:p w14:paraId="47CF6FCB">
            <w:pPr>
              <w:spacing w:line="240" w:lineRule="auto"/>
              <w:ind w:firstLine="0" w:firstLineChars="0"/>
              <w:rPr>
                <w:sz w:val="21"/>
                <w:szCs w:val="21"/>
              </w:rPr>
            </w:pPr>
            <w:r>
              <w:rPr>
                <w:sz w:val="21"/>
                <w:szCs w:val="21"/>
              </w:rPr>
              <w:t>年产轻型钢结构3万吨</w:t>
            </w:r>
          </w:p>
        </w:tc>
        <w:tc>
          <w:tcPr>
            <w:tcW w:w="1388" w:type="pct"/>
            <w:vAlign w:val="center"/>
          </w:tcPr>
          <w:p w14:paraId="2BCB1629">
            <w:pPr>
              <w:spacing w:line="240" w:lineRule="auto"/>
              <w:ind w:firstLine="0" w:firstLineChars="0"/>
              <w:rPr>
                <w:sz w:val="21"/>
                <w:szCs w:val="21"/>
              </w:rPr>
            </w:pPr>
            <w:r>
              <w:rPr>
                <w:sz w:val="21"/>
                <w:szCs w:val="21"/>
              </w:rPr>
              <w:t>以钢材为原料进行加工，无喷漆工序</w:t>
            </w:r>
          </w:p>
        </w:tc>
        <w:tc>
          <w:tcPr>
            <w:tcW w:w="720" w:type="pct"/>
            <w:vMerge w:val="restart"/>
            <w:vAlign w:val="center"/>
          </w:tcPr>
          <w:p w14:paraId="2A633D3D">
            <w:pPr>
              <w:spacing w:line="240" w:lineRule="auto"/>
              <w:ind w:firstLine="0" w:firstLineChars="0"/>
              <w:rPr>
                <w:sz w:val="21"/>
                <w:szCs w:val="21"/>
              </w:rPr>
            </w:pPr>
            <w:r>
              <w:rPr>
                <w:sz w:val="21"/>
                <w:szCs w:val="21"/>
              </w:rPr>
              <w:t>金属制品业</w:t>
            </w:r>
          </w:p>
        </w:tc>
      </w:tr>
      <w:tr w14:paraId="5508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6EDFD582">
            <w:pPr>
              <w:widowControl/>
              <w:spacing w:line="240" w:lineRule="auto"/>
              <w:ind w:firstLine="0" w:firstLineChars="0"/>
              <w:jc w:val="left"/>
              <w:rPr>
                <w:rFonts w:eastAsia="等线"/>
                <w:sz w:val="21"/>
                <w:szCs w:val="21"/>
              </w:rPr>
            </w:pPr>
          </w:p>
        </w:tc>
        <w:tc>
          <w:tcPr>
            <w:tcW w:w="856" w:type="pct"/>
            <w:vMerge w:val="continue"/>
            <w:vAlign w:val="center"/>
          </w:tcPr>
          <w:p w14:paraId="188371B2">
            <w:pPr>
              <w:widowControl/>
              <w:spacing w:line="240" w:lineRule="auto"/>
              <w:ind w:firstLine="0" w:firstLineChars="0"/>
              <w:jc w:val="left"/>
              <w:rPr>
                <w:rFonts w:eastAsia="等线"/>
                <w:sz w:val="21"/>
                <w:szCs w:val="21"/>
              </w:rPr>
            </w:pPr>
          </w:p>
        </w:tc>
        <w:tc>
          <w:tcPr>
            <w:tcW w:w="1388" w:type="pct"/>
            <w:vAlign w:val="center"/>
          </w:tcPr>
          <w:p w14:paraId="7FF0D9B7">
            <w:pPr>
              <w:spacing w:line="240" w:lineRule="auto"/>
              <w:ind w:firstLine="0" w:firstLineChars="0"/>
              <w:rPr>
                <w:sz w:val="21"/>
                <w:szCs w:val="21"/>
              </w:rPr>
            </w:pPr>
            <w:r>
              <w:rPr>
                <w:sz w:val="21"/>
                <w:szCs w:val="21"/>
              </w:rPr>
              <w:t>喷漆各种型号轻型钢结构 40t/a</w:t>
            </w:r>
          </w:p>
        </w:tc>
        <w:tc>
          <w:tcPr>
            <w:tcW w:w="1388" w:type="pct"/>
            <w:vAlign w:val="center"/>
          </w:tcPr>
          <w:p w14:paraId="23C15B86">
            <w:pPr>
              <w:spacing w:line="240" w:lineRule="auto"/>
              <w:ind w:firstLine="0" w:firstLineChars="0"/>
              <w:rPr>
                <w:sz w:val="21"/>
                <w:szCs w:val="21"/>
              </w:rPr>
            </w:pPr>
            <w:r>
              <w:rPr>
                <w:sz w:val="21"/>
                <w:szCs w:val="21"/>
              </w:rPr>
              <w:t>在生产车间内建设一间伸缩式喷漆房</w:t>
            </w:r>
          </w:p>
        </w:tc>
        <w:tc>
          <w:tcPr>
            <w:tcW w:w="720" w:type="pct"/>
            <w:vMerge w:val="continue"/>
            <w:vAlign w:val="center"/>
          </w:tcPr>
          <w:p w14:paraId="35EC6C21">
            <w:pPr>
              <w:widowControl/>
              <w:spacing w:line="240" w:lineRule="auto"/>
              <w:ind w:firstLine="0" w:firstLineChars="0"/>
              <w:jc w:val="left"/>
              <w:rPr>
                <w:rFonts w:eastAsia="等线"/>
                <w:sz w:val="21"/>
                <w:szCs w:val="21"/>
              </w:rPr>
            </w:pPr>
          </w:p>
        </w:tc>
      </w:tr>
      <w:tr w14:paraId="679A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5B210E9">
            <w:pPr>
              <w:spacing w:line="240" w:lineRule="auto"/>
              <w:ind w:firstLine="0" w:firstLineChars="0"/>
              <w:rPr>
                <w:sz w:val="21"/>
                <w:szCs w:val="21"/>
              </w:rPr>
            </w:pPr>
            <w:r>
              <w:rPr>
                <w:sz w:val="21"/>
                <w:szCs w:val="21"/>
              </w:rPr>
              <w:t>50</w:t>
            </w:r>
          </w:p>
        </w:tc>
        <w:tc>
          <w:tcPr>
            <w:tcW w:w="856" w:type="pct"/>
            <w:vAlign w:val="center"/>
          </w:tcPr>
          <w:p w14:paraId="1D7A5DB4">
            <w:pPr>
              <w:spacing w:line="240" w:lineRule="auto"/>
              <w:ind w:firstLine="0" w:firstLineChars="0"/>
              <w:rPr>
                <w:sz w:val="21"/>
                <w:szCs w:val="21"/>
              </w:rPr>
            </w:pPr>
            <w:r>
              <w:rPr>
                <w:sz w:val="21"/>
                <w:szCs w:val="21"/>
              </w:rPr>
              <w:t>包头市世腾工贸有限责任公司</w:t>
            </w:r>
          </w:p>
        </w:tc>
        <w:tc>
          <w:tcPr>
            <w:tcW w:w="1388" w:type="pct"/>
            <w:vAlign w:val="center"/>
          </w:tcPr>
          <w:p w14:paraId="129B3A65">
            <w:pPr>
              <w:spacing w:line="240" w:lineRule="auto"/>
              <w:ind w:firstLine="0" w:firstLineChars="0"/>
              <w:rPr>
                <w:sz w:val="21"/>
                <w:szCs w:val="21"/>
              </w:rPr>
            </w:pPr>
            <w:r>
              <w:rPr>
                <w:sz w:val="21"/>
                <w:szCs w:val="21"/>
              </w:rPr>
              <w:t>年生产3PE防腐管5万吨</w:t>
            </w:r>
          </w:p>
        </w:tc>
        <w:tc>
          <w:tcPr>
            <w:tcW w:w="1388" w:type="pct"/>
            <w:vAlign w:val="center"/>
          </w:tcPr>
          <w:p w14:paraId="7A0F6918">
            <w:pPr>
              <w:spacing w:line="240" w:lineRule="auto"/>
              <w:ind w:firstLine="0" w:firstLineChars="0"/>
              <w:rPr>
                <w:sz w:val="21"/>
                <w:szCs w:val="21"/>
              </w:rPr>
            </w:pPr>
            <w:r>
              <w:rPr>
                <w:sz w:val="21"/>
                <w:szCs w:val="21"/>
              </w:rPr>
              <w:t>钢管预处理、喷涂等</w:t>
            </w:r>
          </w:p>
        </w:tc>
        <w:tc>
          <w:tcPr>
            <w:tcW w:w="720" w:type="pct"/>
            <w:vAlign w:val="center"/>
          </w:tcPr>
          <w:p w14:paraId="50FA9283">
            <w:pPr>
              <w:spacing w:line="240" w:lineRule="auto"/>
              <w:ind w:firstLine="0" w:firstLineChars="0"/>
              <w:rPr>
                <w:sz w:val="21"/>
                <w:szCs w:val="21"/>
              </w:rPr>
            </w:pPr>
            <w:r>
              <w:rPr>
                <w:sz w:val="21"/>
                <w:szCs w:val="21"/>
              </w:rPr>
              <w:t>金属制品业</w:t>
            </w:r>
          </w:p>
        </w:tc>
      </w:tr>
      <w:tr w14:paraId="4036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8DD8199">
            <w:pPr>
              <w:spacing w:line="240" w:lineRule="auto"/>
              <w:ind w:firstLine="0" w:firstLineChars="0"/>
              <w:rPr>
                <w:sz w:val="21"/>
                <w:szCs w:val="21"/>
              </w:rPr>
            </w:pPr>
            <w:r>
              <w:rPr>
                <w:sz w:val="21"/>
                <w:szCs w:val="21"/>
              </w:rPr>
              <w:t>51</w:t>
            </w:r>
          </w:p>
        </w:tc>
        <w:tc>
          <w:tcPr>
            <w:tcW w:w="856" w:type="pct"/>
            <w:vAlign w:val="center"/>
          </w:tcPr>
          <w:p w14:paraId="65753F56">
            <w:pPr>
              <w:spacing w:line="240" w:lineRule="auto"/>
              <w:ind w:firstLine="0" w:firstLineChars="0"/>
              <w:rPr>
                <w:sz w:val="21"/>
                <w:szCs w:val="21"/>
              </w:rPr>
            </w:pPr>
            <w:r>
              <w:rPr>
                <w:sz w:val="21"/>
                <w:szCs w:val="21"/>
              </w:rPr>
              <w:t>包头市满都拉保温制品有限公司</w:t>
            </w:r>
          </w:p>
        </w:tc>
        <w:tc>
          <w:tcPr>
            <w:tcW w:w="1388" w:type="pct"/>
            <w:vAlign w:val="center"/>
          </w:tcPr>
          <w:p w14:paraId="3B700490">
            <w:pPr>
              <w:spacing w:line="240" w:lineRule="auto"/>
              <w:ind w:firstLine="0" w:firstLineChars="0"/>
              <w:rPr>
                <w:sz w:val="21"/>
                <w:szCs w:val="21"/>
              </w:rPr>
            </w:pPr>
            <w:r>
              <w:rPr>
                <w:sz w:val="21"/>
                <w:szCs w:val="21"/>
              </w:rPr>
              <w:t>年产聚氨酯保温管3万立方米</w:t>
            </w:r>
          </w:p>
        </w:tc>
        <w:tc>
          <w:tcPr>
            <w:tcW w:w="1388" w:type="pct"/>
            <w:vAlign w:val="center"/>
          </w:tcPr>
          <w:p w14:paraId="33AD3635">
            <w:pPr>
              <w:spacing w:line="240" w:lineRule="auto"/>
              <w:ind w:firstLine="0" w:firstLineChars="0"/>
              <w:rPr>
                <w:sz w:val="21"/>
                <w:szCs w:val="21"/>
              </w:rPr>
            </w:pPr>
            <w:r>
              <w:rPr>
                <w:sz w:val="21"/>
                <w:szCs w:val="21"/>
              </w:rPr>
              <w:t>液压发泡平台、高压发泡机、双链重型穿管机</w:t>
            </w:r>
          </w:p>
        </w:tc>
        <w:tc>
          <w:tcPr>
            <w:tcW w:w="720" w:type="pct"/>
            <w:vAlign w:val="center"/>
          </w:tcPr>
          <w:p w14:paraId="58C50F53">
            <w:pPr>
              <w:spacing w:line="240" w:lineRule="auto"/>
              <w:ind w:firstLine="0" w:firstLineChars="0"/>
              <w:rPr>
                <w:sz w:val="21"/>
                <w:szCs w:val="21"/>
              </w:rPr>
            </w:pPr>
            <w:r>
              <w:rPr>
                <w:sz w:val="21"/>
                <w:szCs w:val="21"/>
              </w:rPr>
              <w:t>橡胶和塑料制品业</w:t>
            </w:r>
          </w:p>
        </w:tc>
      </w:tr>
      <w:tr w14:paraId="6ACE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6BD1D4F">
            <w:pPr>
              <w:spacing w:line="240" w:lineRule="auto"/>
              <w:ind w:firstLine="0" w:firstLineChars="0"/>
              <w:rPr>
                <w:sz w:val="21"/>
                <w:szCs w:val="21"/>
              </w:rPr>
            </w:pPr>
            <w:r>
              <w:rPr>
                <w:sz w:val="21"/>
                <w:szCs w:val="21"/>
              </w:rPr>
              <w:t>52</w:t>
            </w:r>
          </w:p>
        </w:tc>
        <w:tc>
          <w:tcPr>
            <w:tcW w:w="856" w:type="pct"/>
            <w:vAlign w:val="center"/>
          </w:tcPr>
          <w:p w14:paraId="23E55618">
            <w:pPr>
              <w:spacing w:line="240" w:lineRule="auto"/>
              <w:ind w:firstLine="0" w:firstLineChars="0"/>
              <w:rPr>
                <w:sz w:val="21"/>
                <w:szCs w:val="21"/>
              </w:rPr>
            </w:pPr>
            <w:r>
              <w:rPr>
                <w:sz w:val="21"/>
                <w:szCs w:val="21"/>
              </w:rPr>
              <w:t>包头市鸿斌伟业建材制造有限公司</w:t>
            </w:r>
          </w:p>
        </w:tc>
        <w:tc>
          <w:tcPr>
            <w:tcW w:w="1388" w:type="pct"/>
            <w:vAlign w:val="center"/>
          </w:tcPr>
          <w:p w14:paraId="24842B6F">
            <w:pPr>
              <w:spacing w:line="240" w:lineRule="auto"/>
              <w:ind w:firstLine="0" w:firstLineChars="0"/>
              <w:rPr>
                <w:sz w:val="21"/>
                <w:szCs w:val="21"/>
              </w:rPr>
            </w:pPr>
            <w:r>
              <w:rPr>
                <w:sz w:val="21"/>
                <w:szCs w:val="21"/>
              </w:rPr>
              <w:t>年产50万吨干混砂浆</w:t>
            </w:r>
          </w:p>
        </w:tc>
        <w:tc>
          <w:tcPr>
            <w:tcW w:w="1388" w:type="pct"/>
            <w:vAlign w:val="center"/>
          </w:tcPr>
          <w:p w14:paraId="0AA478F5">
            <w:pPr>
              <w:spacing w:line="240" w:lineRule="auto"/>
              <w:ind w:firstLine="0" w:firstLineChars="0"/>
              <w:rPr>
                <w:sz w:val="21"/>
                <w:szCs w:val="21"/>
              </w:rPr>
            </w:pPr>
          </w:p>
        </w:tc>
        <w:tc>
          <w:tcPr>
            <w:tcW w:w="720" w:type="pct"/>
            <w:vAlign w:val="center"/>
          </w:tcPr>
          <w:p w14:paraId="4DE989B2">
            <w:pPr>
              <w:spacing w:line="240" w:lineRule="auto"/>
              <w:ind w:firstLine="0" w:firstLineChars="0"/>
              <w:rPr>
                <w:sz w:val="21"/>
                <w:szCs w:val="21"/>
              </w:rPr>
            </w:pPr>
            <w:r>
              <w:rPr>
                <w:sz w:val="21"/>
                <w:szCs w:val="21"/>
              </w:rPr>
              <w:t>非金属矿物制品业</w:t>
            </w:r>
          </w:p>
        </w:tc>
      </w:tr>
      <w:tr w14:paraId="7E63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CAD2BB5">
            <w:pPr>
              <w:spacing w:line="240" w:lineRule="auto"/>
              <w:ind w:firstLine="0" w:firstLineChars="0"/>
              <w:rPr>
                <w:sz w:val="21"/>
                <w:szCs w:val="21"/>
              </w:rPr>
            </w:pPr>
            <w:r>
              <w:rPr>
                <w:sz w:val="21"/>
                <w:szCs w:val="21"/>
              </w:rPr>
              <w:t>53</w:t>
            </w:r>
          </w:p>
        </w:tc>
        <w:tc>
          <w:tcPr>
            <w:tcW w:w="856" w:type="pct"/>
            <w:vAlign w:val="center"/>
          </w:tcPr>
          <w:p w14:paraId="09D573F5">
            <w:pPr>
              <w:spacing w:line="240" w:lineRule="auto"/>
              <w:ind w:firstLine="0" w:firstLineChars="0"/>
              <w:rPr>
                <w:sz w:val="21"/>
                <w:szCs w:val="21"/>
              </w:rPr>
            </w:pPr>
            <w:r>
              <w:rPr>
                <w:sz w:val="21"/>
                <w:szCs w:val="21"/>
              </w:rPr>
              <w:t>内蒙古新源光热股份有限公司</w:t>
            </w:r>
          </w:p>
        </w:tc>
        <w:tc>
          <w:tcPr>
            <w:tcW w:w="1388" w:type="pct"/>
            <w:vAlign w:val="center"/>
          </w:tcPr>
          <w:p w14:paraId="090F5122">
            <w:pPr>
              <w:spacing w:line="240" w:lineRule="auto"/>
              <w:ind w:firstLine="0" w:firstLineChars="0"/>
              <w:rPr>
                <w:sz w:val="21"/>
                <w:szCs w:val="21"/>
              </w:rPr>
            </w:pPr>
            <w:r>
              <w:rPr>
                <w:sz w:val="21"/>
                <w:szCs w:val="21"/>
              </w:rPr>
              <w:t>供热面积11.2万平方米</w:t>
            </w:r>
          </w:p>
        </w:tc>
        <w:tc>
          <w:tcPr>
            <w:tcW w:w="1388" w:type="pct"/>
            <w:vAlign w:val="center"/>
          </w:tcPr>
          <w:p w14:paraId="1BA3C4C4">
            <w:pPr>
              <w:spacing w:line="240" w:lineRule="auto"/>
              <w:ind w:firstLine="0" w:firstLineChars="0"/>
              <w:rPr>
                <w:sz w:val="21"/>
                <w:szCs w:val="21"/>
              </w:rPr>
            </w:pPr>
            <w:r>
              <w:rPr>
                <w:sz w:val="21"/>
                <w:szCs w:val="21"/>
              </w:rPr>
              <w:t>太阳能光热镜场2.2万平方米</w:t>
            </w:r>
          </w:p>
        </w:tc>
        <w:tc>
          <w:tcPr>
            <w:tcW w:w="720" w:type="pct"/>
            <w:vMerge w:val="restart"/>
            <w:vAlign w:val="center"/>
          </w:tcPr>
          <w:p w14:paraId="73EB5F40">
            <w:pPr>
              <w:spacing w:line="240" w:lineRule="auto"/>
              <w:ind w:firstLine="0" w:firstLineChars="0"/>
              <w:rPr>
                <w:sz w:val="21"/>
                <w:szCs w:val="21"/>
              </w:rPr>
            </w:pPr>
            <w:r>
              <w:rPr>
                <w:sz w:val="21"/>
                <w:szCs w:val="21"/>
              </w:rPr>
              <w:t>电力、热力生产和供应业</w:t>
            </w:r>
          </w:p>
        </w:tc>
      </w:tr>
      <w:tr w14:paraId="5401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7AB455B">
            <w:pPr>
              <w:spacing w:line="240" w:lineRule="auto"/>
              <w:ind w:firstLine="0" w:firstLineChars="0"/>
              <w:rPr>
                <w:sz w:val="21"/>
                <w:szCs w:val="21"/>
              </w:rPr>
            </w:pPr>
            <w:r>
              <w:rPr>
                <w:sz w:val="21"/>
                <w:szCs w:val="21"/>
              </w:rPr>
              <w:t>54</w:t>
            </w:r>
          </w:p>
        </w:tc>
        <w:tc>
          <w:tcPr>
            <w:tcW w:w="856" w:type="pct"/>
            <w:vAlign w:val="center"/>
          </w:tcPr>
          <w:p w14:paraId="1230C7DC">
            <w:pPr>
              <w:spacing w:line="240" w:lineRule="auto"/>
              <w:ind w:firstLine="0" w:firstLineChars="0"/>
              <w:rPr>
                <w:sz w:val="21"/>
                <w:szCs w:val="21"/>
              </w:rPr>
            </w:pPr>
            <w:r>
              <w:rPr>
                <w:sz w:val="21"/>
                <w:szCs w:val="21"/>
              </w:rPr>
              <w:t>内蒙古新源光热股份有限公司</w:t>
            </w:r>
          </w:p>
        </w:tc>
        <w:tc>
          <w:tcPr>
            <w:tcW w:w="1388" w:type="pct"/>
            <w:vAlign w:val="center"/>
          </w:tcPr>
          <w:p w14:paraId="49B7E872">
            <w:pPr>
              <w:spacing w:line="240" w:lineRule="auto"/>
              <w:ind w:firstLine="0" w:firstLineChars="0"/>
              <w:rPr>
                <w:sz w:val="21"/>
                <w:szCs w:val="21"/>
              </w:rPr>
            </w:pPr>
            <w:r>
              <w:rPr>
                <w:sz w:val="21"/>
                <w:szCs w:val="21"/>
              </w:rPr>
              <w:t>供热面积35万平方米</w:t>
            </w:r>
          </w:p>
        </w:tc>
        <w:tc>
          <w:tcPr>
            <w:tcW w:w="1388" w:type="pct"/>
            <w:vAlign w:val="center"/>
          </w:tcPr>
          <w:p w14:paraId="61489677">
            <w:pPr>
              <w:spacing w:line="240" w:lineRule="auto"/>
              <w:ind w:firstLine="0" w:firstLineChars="0"/>
              <w:rPr>
                <w:sz w:val="21"/>
                <w:szCs w:val="21"/>
              </w:rPr>
            </w:pPr>
            <w:r>
              <w:rPr>
                <w:sz w:val="21"/>
                <w:szCs w:val="21"/>
              </w:rPr>
              <w:t>建设太阳能光热镜场7.2万平方米</w:t>
            </w:r>
          </w:p>
        </w:tc>
        <w:tc>
          <w:tcPr>
            <w:tcW w:w="720" w:type="pct"/>
            <w:vMerge w:val="continue"/>
            <w:vAlign w:val="center"/>
          </w:tcPr>
          <w:p w14:paraId="5765CCD5">
            <w:pPr>
              <w:widowControl/>
              <w:spacing w:line="240" w:lineRule="auto"/>
              <w:ind w:firstLine="0" w:firstLineChars="0"/>
              <w:jc w:val="left"/>
              <w:rPr>
                <w:rFonts w:eastAsia="等线"/>
                <w:sz w:val="21"/>
                <w:szCs w:val="21"/>
              </w:rPr>
            </w:pPr>
          </w:p>
        </w:tc>
      </w:tr>
      <w:tr w14:paraId="311C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396F5E9">
            <w:pPr>
              <w:spacing w:line="240" w:lineRule="auto"/>
              <w:ind w:firstLine="0" w:firstLineChars="0"/>
              <w:rPr>
                <w:sz w:val="21"/>
                <w:szCs w:val="21"/>
              </w:rPr>
            </w:pPr>
            <w:r>
              <w:rPr>
                <w:sz w:val="21"/>
                <w:szCs w:val="21"/>
              </w:rPr>
              <w:t>55</w:t>
            </w:r>
          </w:p>
        </w:tc>
        <w:tc>
          <w:tcPr>
            <w:tcW w:w="856" w:type="pct"/>
            <w:vAlign w:val="center"/>
          </w:tcPr>
          <w:p w14:paraId="31D24B10">
            <w:pPr>
              <w:spacing w:line="240" w:lineRule="auto"/>
              <w:ind w:firstLine="0" w:firstLineChars="0"/>
              <w:rPr>
                <w:sz w:val="21"/>
                <w:szCs w:val="21"/>
              </w:rPr>
            </w:pPr>
            <w:r>
              <w:rPr>
                <w:sz w:val="21"/>
                <w:szCs w:val="21"/>
              </w:rPr>
              <w:t>晶源新材料(内蒙古)有限公司</w:t>
            </w:r>
          </w:p>
        </w:tc>
        <w:tc>
          <w:tcPr>
            <w:tcW w:w="1388" w:type="pct"/>
            <w:vAlign w:val="center"/>
          </w:tcPr>
          <w:p w14:paraId="1CF2EDF3">
            <w:pPr>
              <w:spacing w:line="240" w:lineRule="auto"/>
              <w:ind w:firstLine="0" w:firstLineChars="0"/>
              <w:rPr>
                <w:sz w:val="21"/>
                <w:szCs w:val="21"/>
              </w:rPr>
            </w:pPr>
            <w:r>
              <w:rPr>
                <w:sz w:val="21"/>
                <w:szCs w:val="21"/>
              </w:rPr>
              <w:t>年产1000吨碳纤维复合材料</w:t>
            </w:r>
          </w:p>
        </w:tc>
        <w:tc>
          <w:tcPr>
            <w:tcW w:w="1388" w:type="pct"/>
            <w:vAlign w:val="center"/>
          </w:tcPr>
          <w:p w14:paraId="1BF76C3F">
            <w:pPr>
              <w:spacing w:line="240" w:lineRule="auto"/>
              <w:ind w:firstLine="0" w:firstLineChars="0"/>
              <w:rPr>
                <w:sz w:val="21"/>
                <w:szCs w:val="21"/>
              </w:rPr>
            </w:pPr>
            <w:r>
              <w:rPr>
                <w:sz w:val="21"/>
                <w:szCs w:val="21"/>
              </w:rPr>
              <w:t>连续碳化、石墨化炉、裁切机、编织机等</w:t>
            </w:r>
          </w:p>
        </w:tc>
        <w:tc>
          <w:tcPr>
            <w:tcW w:w="720" w:type="pct"/>
            <w:vAlign w:val="center"/>
          </w:tcPr>
          <w:p w14:paraId="1CEBF3EF">
            <w:pPr>
              <w:spacing w:line="240" w:lineRule="auto"/>
              <w:ind w:firstLine="0" w:firstLineChars="0"/>
              <w:rPr>
                <w:sz w:val="21"/>
                <w:szCs w:val="21"/>
              </w:rPr>
            </w:pPr>
            <w:r>
              <w:rPr>
                <w:sz w:val="21"/>
                <w:szCs w:val="21"/>
              </w:rPr>
              <w:t>非金属矿物制品业</w:t>
            </w:r>
          </w:p>
        </w:tc>
      </w:tr>
      <w:tr w14:paraId="6C85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1E1EE901">
            <w:pPr>
              <w:spacing w:line="240" w:lineRule="auto"/>
              <w:ind w:firstLine="0" w:firstLineChars="0"/>
              <w:rPr>
                <w:sz w:val="21"/>
                <w:szCs w:val="21"/>
              </w:rPr>
            </w:pPr>
            <w:r>
              <w:rPr>
                <w:sz w:val="21"/>
                <w:szCs w:val="21"/>
              </w:rPr>
              <w:t>56</w:t>
            </w:r>
          </w:p>
        </w:tc>
        <w:tc>
          <w:tcPr>
            <w:tcW w:w="856" w:type="pct"/>
            <w:vMerge w:val="restart"/>
            <w:vAlign w:val="center"/>
          </w:tcPr>
          <w:p w14:paraId="10998949">
            <w:pPr>
              <w:spacing w:line="240" w:lineRule="auto"/>
              <w:ind w:firstLine="0" w:firstLineChars="0"/>
              <w:rPr>
                <w:sz w:val="21"/>
                <w:szCs w:val="21"/>
              </w:rPr>
            </w:pPr>
            <w:r>
              <w:rPr>
                <w:sz w:val="21"/>
                <w:szCs w:val="21"/>
              </w:rPr>
              <w:t>内蒙古栢特新材料科技有限公司</w:t>
            </w:r>
          </w:p>
        </w:tc>
        <w:tc>
          <w:tcPr>
            <w:tcW w:w="1388" w:type="pct"/>
            <w:vAlign w:val="center"/>
          </w:tcPr>
          <w:p w14:paraId="097793E9">
            <w:pPr>
              <w:spacing w:line="240" w:lineRule="auto"/>
              <w:ind w:firstLine="0" w:firstLineChars="0"/>
              <w:rPr>
                <w:sz w:val="21"/>
                <w:szCs w:val="21"/>
              </w:rPr>
            </w:pPr>
            <w:r>
              <w:rPr>
                <w:sz w:val="21"/>
                <w:szCs w:val="21"/>
              </w:rPr>
              <w:t>年产800吨炭/炭复合材料制品</w:t>
            </w:r>
          </w:p>
        </w:tc>
        <w:tc>
          <w:tcPr>
            <w:tcW w:w="1388" w:type="pct"/>
            <w:vAlign w:val="center"/>
          </w:tcPr>
          <w:p w14:paraId="38FEDB10">
            <w:pPr>
              <w:spacing w:line="240" w:lineRule="auto"/>
              <w:ind w:firstLine="0" w:firstLineChars="0"/>
              <w:rPr>
                <w:sz w:val="21"/>
                <w:szCs w:val="21"/>
              </w:rPr>
            </w:pPr>
            <w:r>
              <w:rPr>
                <w:sz w:val="21"/>
                <w:szCs w:val="21"/>
              </w:rPr>
              <w:t>4 条炭/炭复合材料热场组件生产线</w:t>
            </w:r>
          </w:p>
        </w:tc>
        <w:tc>
          <w:tcPr>
            <w:tcW w:w="720" w:type="pct"/>
            <w:vMerge w:val="restart"/>
            <w:vAlign w:val="center"/>
          </w:tcPr>
          <w:p w14:paraId="2EB87100">
            <w:pPr>
              <w:spacing w:line="240" w:lineRule="auto"/>
              <w:ind w:firstLine="0" w:firstLineChars="0"/>
              <w:rPr>
                <w:sz w:val="21"/>
                <w:szCs w:val="21"/>
              </w:rPr>
            </w:pPr>
            <w:r>
              <w:rPr>
                <w:sz w:val="21"/>
                <w:szCs w:val="21"/>
              </w:rPr>
              <w:t>非金属矿物制品业</w:t>
            </w:r>
          </w:p>
        </w:tc>
      </w:tr>
      <w:tr w14:paraId="1424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3ED281CB">
            <w:pPr>
              <w:widowControl/>
              <w:spacing w:line="240" w:lineRule="auto"/>
              <w:ind w:firstLine="0" w:firstLineChars="0"/>
              <w:jc w:val="left"/>
              <w:rPr>
                <w:rFonts w:eastAsia="等线"/>
                <w:sz w:val="21"/>
                <w:szCs w:val="21"/>
              </w:rPr>
            </w:pPr>
          </w:p>
        </w:tc>
        <w:tc>
          <w:tcPr>
            <w:tcW w:w="856" w:type="pct"/>
            <w:vMerge w:val="continue"/>
            <w:vAlign w:val="center"/>
          </w:tcPr>
          <w:p w14:paraId="2FD1687D">
            <w:pPr>
              <w:widowControl/>
              <w:spacing w:line="240" w:lineRule="auto"/>
              <w:ind w:firstLine="0" w:firstLineChars="0"/>
              <w:jc w:val="left"/>
              <w:rPr>
                <w:rFonts w:eastAsia="等线"/>
                <w:sz w:val="21"/>
                <w:szCs w:val="21"/>
              </w:rPr>
            </w:pPr>
          </w:p>
        </w:tc>
        <w:tc>
          <w:tcPr>
            <w:tcW w:w="1388" w:type="pct"/>
            <w:vAlign w:val="center"/>
          </w:tcPr>
          <w:p w14:paraId="1F0EE90A">
            <w:pPr>
              <w:spacing w:line="240" w:lineRule="auto"/>
              <w:ind w:firstLine="0" w:firstLineChars="0"/>
              <w:rPr>
                <w:sz w:val="21"/>
                <w:szCs w:val="21"/>
              </w:rPr>
            </w:pPr>
            <w:r>
              <w:rPr>
                <w:sz w:val="21"/>
                <w:szCs w:val="21"/>
              </w:rPr>
              <w:t>年产炭/炭材料 400 吨</w:t>
            </w:r>
          </w:p>
        </w:tc>
        <w:tc>
          <w:tcPr>
            <w:tcW w:w="1388" w:type="pct"/>
            <w:vAlign w:val="center"/>
          </w:tcPr>
          <w:p w14:paraId="10CD336F">
            <w:pPr>
              <w:spacing w:line="240" w:lineRule="auto"/>
              <w:ind w:firstLine="0" w:firstLineChars="0"/>
              <w:rPr>
                <w:sz w:val="21"/>
                <w:szCs w:val="21"/>
              </w:rPr>
            </w:pPr>
            <w:r>
              <w:rPr>
                <w:sz w:val="21"/>
                <w:szCs w:val="21"/>
              </w:rPr>
              <w:t>一条炭/炭材料生产线</w:t>
            </w:r>
          </w:p>
        </w:tc>
        <w:tc>
          <w:tcPr>
            <w:tcW w:w="720" w:type="pct"/>
            <w:vMerge w:val="continue"/>
            <w:vAlign w:val="center"/>
          </w:tcPr>
          <w:p w14:paraId="06A959C6">
            <w:pPr>
              <w:widowControl/>
              <w:spacing w:line="240" w:lineRule="auto"/>
              <w:ind w:firstLine="0" w:firstLineChars="0"/>
              <w:jc w:val="left"/>
              <w:rPr>
                <w:rFonts w:eastAsia="等线"/>
                <w:sz w:val="21"/>
                <w:szCs w:val="21"/>
              </w:rPr>
            </w:pPr>
          </w:p>
        </w:tc>
      </w:tr>
      <w:tr w14:paraId="5A8C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3171CB9">
            <w:pPr>
              <w:spacing w:line="240" w:lineRule="auto"/>
              <w:ind w:firstLine="0" w:firstLineChars="0"/>
              <w:rPr>
                <w:sz w:val="21"/>
                <w:szCs w:val="21"/>
              </w:rPr>
            </w:pPr>
            <w:r>
              <w:rPr>
                <w:sz w:val="21"/>
                <w:szCs w:val="21"/>
              </w:rPr>
              <w:t>57</w:t>
            </w:r>
          </w:p>
        </w:tc>
        <w:tc>
          <w:tcPr>
            <w:tcW w:w="856" w:type="pct"/>
            <w:vAlign w:val="center"/>
          </w:tcPr>
          <w:p w14:paraId="67238A69">
            <w:pPr>
              <w:spacing w:line="240" w:lineRule="auto"/>
              <w:ind w:firstLine="0" w:firstLineChars="0"/>
              <w:rPr>
                <w:sz w:val="21"/>
                <w:szCs w:val="21"/>
              </w:rPr>
            </w:pPr>
            <w:r>
              <w:rPr>
                <w:sz w:val="21"/>
                <w:szCs w:val="21"/>
              </w:rPr>
              <w:t>大为材料（包头）有限公司</w:t>
            </w:r>
          </w:p>
        </w:tc>
        <w:tc>
          <w:tcPr>
            <w:tcW w:w="1388" w:type="pct"/>
            <w:vAlign w:val="center"/>
          </w:tcPr>
          <w:p w14:paraId="2ED46B2A">
            <w:pPr>
              <w:spacing w:line="240" w:lineRule="auto"/>
              <w:ind w:firstLine="0" w:firstLineChars="0"/>
              <w:rPr>
                <w:sz w:val="21"/>
                <w:szCs w:val="21"/>
              </w:rPr>
            </w:pPr>
            <w:r>
              <w:rPr>
                <w:sz w:val="21"/>
                <w:szCs w:val="21"/>
              </w:rPr>
              <w:t>汽车铝合金传动轴和推（拉）力杆零部件生产线及年产 30 吨高性能铝合金焊丝</w:t>
            </w:r>
          </w:p>
        </w:tc>
        <w:tc>
          <w:tcPr>
            <w:tcW w:w="1388" w:type="pct"/>
            <w:vAlign w:val="center"/>
          </w:tcPr>
          <w:p w14:paraId="6515A42F">
            <w:pPr>
              <w:spacing w:line="240" w:lineRule="auto"/>
              <w:ind w:firstLine="0" w:firstLineChars="0"/>
              <w:rPr>
                <w:sz w:val="21"/>
                <w:szCs w:val="21"/>
              </w:rPr>
            </w:pPr>
          </w:p>
        </w:tc>
        <w:tc>
          <w:tcPr>
            <w:tcW w:w="720" w:type="pct"/>
            <w:vAlign w:val="center"/>
          </w:tcPr>
          <w:p w14:paraId="73BDA63F">
            <w:pPr>
              <w:spacing w:line="240" w:lineRule="auto"/>
              <w:ind w:firstLine="0" w:firstLineChars="0"/>
              <w:rPr>
                <w:sz w:val="21"/>
                <w:szCs w:val="21"/>
              </w:rPr>
            </w:pPr>
            <w:r>
              <w:rPr>
                <w:sz w:val="21"/>
                <w:szCs w:val="21"/>
              </w:rPr>
              <w:t>有色金属冶炼和压延加工业</w:t>
            </w:r>
          </w:p>
        </w:tc>
      </w:tr>
      <w:tr w14:paraId="1173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C37B4D1">
            <w:pPr>
              <w:spacing w:line="240" w:lineRule="auto"/>
              <w:ind w:firstLine="0" w:firstLineChars="0"/>
              <w:rPr>
                <w:sz w:val="21"/>
                <w:szCs w:val="21"/>
              </w:rPr>
            </w:pPr>
            <w:r>
              <w:rPr>
                <w:sz w:val="21"/>
                <w:szCs w:val="21"/>
              </w:rPr>
              <w:t>58</w:t>
            </w:r>
          </w:p>
        </w:tc>
        <w:tc>
          <w:tcPr>
            <w:tcW w:w="856" w:type="pct"/>
            <w:vAlign w:val="center"/>
          </w:tcPr>
          <w:p w14:paraId="6D642BEF">
            <w:pPr>
              <w:spacing w:line="240" w:lineRule="auto"/>
              <w:ind w:firstLine="0" w:firstLineChars="0"/>
              <w:rPr>
                <w:sz w:val="21"/>
                <w:szCs w:val="21"/>
              </w:rPr>
            </w:pPr>
            <w:r>
              <w:rPr>
                <w:sz w:val="21"/>
                <w:szCs w:val="21"/>
              </w:rPr>
              <w:t>包头市长城装饰装潢有限责任公司</w:t>
            </w:r>
          </w:p>
        </w:tc>
        <w:tc>
          <w:tcPr>
            <w:tcW w:w="1388" w:type="pct"/>
            <w:vAlign w:val="center"/>
          </w:tcPr>
          <w:p w14:paraId="1A2152BE">
            <w:pPr>
              <w:spacing w:line="240" w:lineRule="auto"/>
              <w:ind w:firstLine="0" w:firstLineChars="0"/>
              <w:rPr>
                <w:sz w:val="21"/>
                <w:szCs w:val="21"/>
              </w:rPr>
            </w:pPr>
            <w:r>
              <w:rPr>
                <w:sz w:val="21"/>
                <w:szCs w:val="21"/>
              </w:rPr>
              <w:t>各种门窗35万平方米、铝复合木门窗型材1.2万吨、40万平方米窗用特种玻璃及中空玻璃</w:t>
            </w:r>
          </w:p>
        </w:tc>
        <w:tc>
          <w:tcPr>
            <w:tcW w:w="1388" w:type="pct"/>
            <w:vAlign w:val="center"/>
          </w:tcPr>
          <w:p w14:paraId="24C9F807">
            <w:pPr>
              <w:spacing w:line="240" w:lineRule="auto"/>
              <w:ind w:firstLine="0" w:firstLineChars="0"/>
              <w:rPr>
                <w:sz w:val="21"/>
                <w:szCs w:val="21"/>
              </w:rPr>
            </w:pPr>
            <w:r>
              <w:rPr>
                <w:sz w:val="21"/>
                <w:szCs w:val="21"/>
              </w:rPr>
              <w:t>压力机、铣床</w:t>
            </w:r>
          </w:p>
        </w:tc>
        <w:tc>
          <w:tcPr>
            <w:tcW w:w="720" w:type="pct"/>
            <w:vAlign w:val="center"/>
          </w:tcPr>
          <w:p w14:paraId="3E6C5204">
            <w:pPr>
              <w:spacing w:line="240" w:lineRule="auto"/>
              <w:ind w:firstLine="0" w:firstLineChars="0"/>
              <w:rPr>
                <w:sz w:val="21"/>
                <w:szCs w:val="21"/>
              </w:rPr>
            </w:pPr>
            <w:r>
              <w:rPr>
                <w:sz w:val="21"/>
                <w:szCs w:val="21"/>
              </w:rPr>
              <w:t>金属制品业</w:t>
            </w:r>
          </w:p>
        </w:tc>
      </w:tr>
      <w:tr w14:paraId="3D1DC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79F2AFA">
            <w:pPr>
              <w:spacing w:line="240" w:lineRule="auto"/>
              <w:ind w:firstLine="0" w:firstLineChars="0"/>
              <w:rPr>
                <w:sz w:val="21"/>
                <w:szCs w:val="21"/>
              </w:rPr>
            </w:pPr>
            <w:r>
              <w:rPr>
                <w:sz w:val="21"/>
                <w:szCs w:val="21"/>
              </w:rPr>
              <w:t>59</w:t>
            </w:r>
          </w:p>
        </w:tc>
        <w:tc>
          <w:tcPr>
            <w:tcW w:w="856" w:type="pct"/>
            <w:vAlign w:val="center"/>
          </w:tcPr>
          <w:p w14:paraId="3B807DAF">
            <w:pPr>
              <w:spacing w:line="240" w:lineRule="auto"/>
              <w:ind w:firstLine="0" w:firstLineChars="0"/>
              <w:rPr>
                <w:sz w:val="21"/>
                <w:szCs w:val="21"/>
              </w:rPr>
            </w:pPr>
            <w:r>
              <w:rPr>
                <w:sz w:val="21"/>
                <w:szCs w:val="21"/>
              </w:rPr>
              <w:t>包头市蒙隆机械制造有限责任公司</w:t>
            </w:r>
          </w:p>
        </w:tc>
        <w:tc>
          <w:tcPr>
            <w:tcW w:w="1388" w:type="pct"/>
            <w:vAlign w:val="center"/>
          </w:tcPr>
          <w:p w14:paraId="4E6F3365">
            <w:pPr>
              <w:spacing w:line="240" w:lineRule="auto"/>
              <w:ind w:firstLine="0" w:firstLineChars="0"/>
              <w:rPr>
                <w:sz w:val="21"/>
                <w:szCs w:val="21"/>
              </w:rPr>
            </w:pPr>
            <w:r>
              <w:rPr>
                <w:sz w:val="21"/>
                <w:szCs w:val="21"/>
              </w:rPr>
              <w:t>年产汽车零部件10.5万件</w:t>
            </w:r>
          </w:p>
        </w:tc>
        <w:tc>
          <w:tcPr>
            <w:tcW w:w="1388" w:type="pct"/>
            <w:vAlign w:val="center"/>
          </w:tcPr>
          <w:p w14:paraId="73B95650">
            <w:pPr>
              <w:spacing w:line="240" w:lineRule="auto"/>
              <w:ind w:firstLine="0" w:firstLineChars="0"/>
              <w:rPr>
                <w:sz w:val="21"/>
                <w:szCs w:val="21"/>
              </w:rPr>
            </w:pPr>
            <w:r>
              <w:rPr>
                <w:sz w:val="21"/>
                <w:szCs w:val="21"/>
              </w:rPr>
              <w:t>原料从钢材市场购进下料后，经机加车间进行打孔、车、铣、镗、切割成半成品，再经车床、打磨成型，经检验合格后入库存放。</w:t>
            </w:r>
          </w:p>
        </w:tc>
        <w:tc>
          <w:tcPr>
            <w:tcW w:w="720" w:type="pct"/>
            <w:vAlign w:val="center"/>
          </w:tcPr>
          <w:p w14:paraId="3C940B0C">
            <w:pPr>
              <w:spacing w:line="240" w:lineRule="auto"/>
              <w:ind w:firstLine="0" w:firstLineChars="0"/>
              <w:rPr>
                <w:sz w:val="21"/>
                <w:szCs w:val="21"/>
              </w:rPr>
            </w:pPr>
            <w:r>
              <w:rPr>
                <w:sz w:val="21"/>
                <w:szCs w:val="21"/>
              </w:rPr>
              <w:t>汽车制造业（汽车零部件及配件制造）</w:t>
            </w:r>
          </w:p>
        </w:tc>
      </w:tr>
      <w:tr w14:paraId="5B87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2FD8E2D">
            <w:pPr>
              <w:spacing w:line="240" w:lineRule="auto"/>
              <w:ind w:firstLine="0" w:firstLineChars="0"/>
              <w:rPr>
                <w:sz w:val="21"/>
                <w:szCs w:val="21"/>
              </w:rPr>
            </w:pPr>
            <w:r>
              <w:rPr>
                <w:sz w:val="21"/>
                <w:szCs w:val="21"/>
              </w:rPr>
              <w:t>60</w:t>
            </w:r>
          </w:p>
        </w:tc>
        <w:tc>
          <w:tcPr>
            <w:tcW w:w="856" w:type="pct"/>
            <w:vAlign w:val="center"/>
          </w:tcPr>
          <w:p w14:paraId="4B55CAD4">
            <w:pPr>
              <w:spacing w:line="240" w:lineRule="auto"/>
              <w:ind w:firstLine="0" w:firstLineChars="0"/>
              <w:rPr>
                <w:sz w:val="21"/>
                <w:szCs w:val="21"/>
              </w:rPr>
            </w:pPr>
            <w:r>
              <w:rPr>
                <w:sz w:val="21"/>
                <w:szCs w:val="21"/>
              </w:rPr>
              <w:t>包头市腾飞元金属结构装备制造有限责任公司</w:t>
            </w:r>
          </w:p>
        </w:tc>
        <w:tc>
          <w:tcPr>
            <w:tcW w:w="1388" w:type="pct"/>
            <w:vAlign w:val="center"/>
          </w:tcPr>
          <w:p w14:paraId="5CF59CE3">
            <w:pPr>
              <w:spacing w:line="240" w:lineRule="auto"/>
              <w:ind w:firstLine="0" w:firstLineChars="0"/>
              <w:rPr>
                <w:sz w:val="21"/>
                <w:szCs w:val="21"/>
              </w:rPr>
            </w:pPr>
            <w:r>
              <w:rPr>
                <w:sz w:val="21"/>
                <w:szCs w:val="21"/>
              </w:rPr>
              <w:t>年产抽油机100台、球形网架5000吨、重型钢构1万吨</w:t>
            </w:r>
          </w:p>
        </w:tc>
        <w:tc>
          <w:tcPr>
            <w:tcW w:w="1388" w:type="pct"/>
            <w:vAlign w:val="center"/>
          </w:tcPr>
          <w:p w14:paraId="774BA633">
            <w:pPr>
              <w:spacing w:line="240" w:lineRule="auto"/>
              <w:ind w:firstLine="0" w:firstLineChars="0"/>
              <w:rPr>
                <w:sz w:val="21"/>
                <w:szCs w:val="21"/>
              </w:rPr>
            </w:pPr>
            <w:r>
              <w:rPr>
                <w:sz w:val="21"/>
                <w:szCs w:val="21"/>
              </w:rPr>
              <w:t>球形网架生产线、重型钢构生产线、抽油机生产线</w:t>
            </w:r>
          </w:p>
        </w:tc>
        <w:tc>
          <w:tcPr>
            <w:tcW w:w="720" w:type="pct"/>
            <w:vAlign w:val="center"/>
          </w:tcPr>
          <w:p w14:paraId="6DDDBB01">
            <w:pPr>
              <w:spacing w:line="240" w:lineRule="auto"/>
              <w:ind w:firstLine="0" w:firstLineChars="0"/>
              <w:rPr>
                <w:sz w:val="21"/>
                <w:szCs w:val="21"/>
              </w:rPr>
            </w:pPr>
            <w:r>
              <w:rPr>
                <w:sz w:val="21"/>
                <w:szCs w:val="21"/>
              </w:rPr>
              <w:t>金属制品业</w:t>
            </w:r>
          </w:p>
        </w:tc>
      </w:tr>
      <w:tr w14:paraId="462B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E8625F2">
            <w:pPr>
              <w:spacing w:line="240" w:lineRule="auto"/>
              <w:ind w:firstLine="0" w:firstLineChars="0"/>
              <w:rPr>
                <w:sz w:val="21"/>
                <w:szCs w:val="21"/>
              </w:rPr>
            </w:pPr>
            <w:r>
              <w:rPr>
                <w:sz w:val="21"/>
                <w:szCs w:val="21"/>
              </w:rPr>
              <w:t>61</w:t>
            </w:r>
          </w:p>
        </w:tc>
        <w:tc>
          <w:tcPr>
            <w:tcW w:w="856" w:type="pct"/>
            <w:vAlign w:val="center"/>
          </w:tcPr>
          <w:p w14:paraId="41211934">
            <w:pPr>
              <w:spacing w:line="240" w:lineRule="auto"/>
              <w:ind w:firstLine="0" w:firstLineChars="0"/>
              <w:rPr>
                <w:sz w:val="21"/>
                <w:szCs w:val="21"/>
              </w:rPr>
            </w:pPr>
            <w:r>
              <w:rPr>
                <w:sz w:val="21"/>
                <w:szCs w:val="21"/>
              </w:rPr>
              <w:t>包头市中燃百江能源有限公司</w:t>
            </w:r>
          </w:p>
        </w:tc>
        <w:tc>
          <w:tcPr>
            <w:tcW w:w="1388" w:type="pct"/>
            <w:vAlign w:val="center"/>
          </w:tcPr>
          <w:p w14:paraId="0A536B90">
            <w:pPr>
              <w:spacing w:line="240" w:lineRule="auto"/>
              <w:ind w:firstLine="0" w:firstLineChars="0"/>
              <w:rPr>
                <w:sz w:val="21"/>
                <w:szCs w:val="21"/>
              </w:rPr>
            </w:pPr>
          </w:p>
        </w:tc>
        <w:tc>
          <w:tcPr>
            <w:tcW w:w="1388" w:type="pct"/>
            <w:vAlign w:val="center"/>
          </w:tcPr>
          <w:p w14:paraId="58D8AB0D">
            <w:pPr>
              <w:spacing w:line="240" w:lineRule="auto"/>
              <w:ind w:firstLine="0" w:firstLineChars="0"/>
              <w:rPr>
                <w:sz w:val="21"/>
                <w:szCs w:val="21"/>
              </w:rPr>
            </w:pPr>
            <w:r>
              <w:rPr>
                <w:sz w:val="21"/>
                <w:szCs w:val="21"/>
              </w:rPr>
              <w:t>100m³的LPG储罐3台、50m³的残液罐1台、充装泵2台、压缩机2台、充装秤6台</w:t>
            </w:r>
          </w:p>
        </w:tc>
        <w:tc>
          <w:tcPr>
            <w:tcW w:w="720" w:type="pct"/>
            <w:vAlign w:val="center"/>
          </w:tcPr>
          <w:p w14:paraId="7A986DEB">
            <w:pPr>
              <w:spacing w:line="240" w:lineRule="auto"/>
              <w:ind w:firstLine="0" w:firstLineChars="0"/>
              <w:rPr>
                <w:sz w:val="21"/>
                <w:szCs w:val="21"/>
              </w:rPr>
            </w:pPr>
            <w:r>
              <w:rPr>
                <w:sz w:val="21"/>
                <w:szCs w:val="21"/>
              </w:rPr>
              <w:t>社会事业与服务业</w:t>
            </w:r>
          </w:p>
        </w:tc>
      </w:tr>
      <w:tr w14:paraId="07A6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58A34DC">
            <w:pPr>
              <w:spacing w:line="240" w:lineRule="auto"/>
              <w:ind w:firstLine="0" w:firstLineChars="0"/>
              <w:rPr>
                <w:sz w:val="21"/>
                <w:szCs w:val="21"/>
              </w:rPr>
            </w:pPr>
            <w:r>
              <w:rPr>
                <w:sz w:val="21"/>
                <w:szCs w:val="21"/>
              </w:rPr>
              <w:t>62</w:t>
            </w:r>
          </w:p>
        </w:tc>
        <w:tc>
          <w:tcPr>
            <w:tcW w:w="856" w:type="pct"/>
            <w:vAlign w:val="center"/>
          </w:tcPr>
          <w:p w14:paraId="5C79A5F1">
            <w:pPr>
              <w:spacing w:line="240" w:lineRule="auto"/>
              <w:ind w:firstLine="0" w:firstLineChars="0"/>
              <w:rPr>
                <w:sz w:val="21"/>
                <w:szCs w:val="21"/>
              </w:rPr>
            </w:pPr>
            <w:r>
              <w:rPr>
                <w:sz w:val="21"/>
                <w:szCs w:val="21"/>
              </w:rPr>
              <w:t>包头市大成彩印包装有限责任公司</w:t>
            </w:r>
          </w:p>
        </w:tc>
        <w:tc>
          <w:tcPr>
            <w:tcW w:w="1388" w:type="pct"/>
            <w:vAlign w:val="center"/>
          </w:tcPr>
          <w:p w14:paraId="4285C56A">
            <w:pPr>
              <w:spacing w:line="240" w:lineRule="auto"/>
              <w:ind w:firstLine="0" w:firstLineChars="0"/>
              <w:rPr>
                <w:sz w:val="21"/>
                <w:szCs w:val="21"/>
              </w:rPr>
            </w:pPr>
            <w:r>
              <w:rPr>
                <w:sz w:val="21"/>
                <w:szCs w:val="21"/>
              </w:rPr>
              <w:t>年产 200 万个包装制品</w:t>
            </w:r>
          </w:p>
        </w:tc>
        <w:tc>
          <w:tcPr>
            <w:tcW w:w="1388" w:type="pct"/>
            <w:vAlign w:val="center"/>
          </w:tcPr>
          <w:p w14:paraId="40276424">
            <w:pPr>
              <w:spacing w:line="240" w:lineRule="auto"/>
              <w:ind w:firstLine="0" w:firstLineChars="0"/>
              <w:rPr>
                <w:sz w:val="21"/>
                <w:szCs w:val="21"/>
              </w:rPr>
            </w:pPr>
            <w:r>
              <w:rPr>
                <w:sz w:val="21"/>
                <w:szCs w:val="21"/>
              </w:rPr>
              <w:t>原料配置、生产瓦楞纸板、模切压合、纸箱成型</w:t>
            </w:r>
          </w:p>
        </w:tc>
        <w:tc>
          <w:tcPr>
            <w:tcW w:w="720" w:type="pct"/>
            <w:vAlign w:val="center"/>
          </w:tcPr>
          <w:p w14:paraId="728C4DF3">
            <w:pPr>
              <w:spacing w:line="240" w:lineRule="auto"/>
              <w:ind w:firstLine="0" w:firstLineChars="0"/>
              <w:rPr>
                <w:sz w:val="21"/>
                <w:szCs w:val="21"/>
              </w:rPr>
            </w:pPr>
            <w:r>
              <w:rPr>
                <w:sz w:val="21"/>
                <w:szCs w:val="21"/>
              </w:rPr>
              <w:t>纸制品制造</w:t>
            </w:r>
          </w:p>
        </w:tc>
      </w:tr>
      <w:tr w14:paraId="3C46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F06E7B4">
            <w:pPr>
              <w:spacing w:line="240" w:lineRule="auto"/>
              <w:ind w:firstLine="0" w:firstLineChars="0"/>
              <w:rPr>
                <w:sz w:val="21"/>
                <w:szCs w:val="21"/>
              </w:rPr>
            </w:pPr>
            <w:r>
              <w:rPr>
                <w:sz w:val="21"/>
                <w:szCs w:val="21"/>
              </w:rPr>
              <w:t>63</w:t>
            </w:r>
          </w:p>
        </w:tc>
        <w:tc>
          <w:tcPr>
            <w:tcW w:w="856" w:type="pct"/>
            <w:vAlign w:val="center"/>
          </w:tcPr>
          <w:p w14:paraId="0A908DB6">
            <w:pPr>
              <w:spacing w:line="240" w:lineRule="auto"/>
              <w:ind w:firstLine="0" w:firstLineChars="0"/>
              <w:rPr>
                <w:sz w:val="21"/>
                <w:szCs w:val="21"/>
              </w:rPr>
            </w:pPr>
            <w:r>
              <w:rPr>
                <w:sz w:val="21"/>
                <w:szCs w:val="21"/>
              </w:rPr>
              <w:t>铁建重工包头有限公司</w:t>
            </w:r>
          </w:p>
        </w:tc>
        <w:tc>
          <w:tcPr>
            <w:tcW w:w="1388" w:type="pct"/>
            <w:vAlign w:val="center"/>
          </w:tcPr>
          <w:p w14:paraId="3B659BAC">
            <w:pPr>
              <w:spacing w:line="240" w:lineRule="auto"/>
              <w:ind w:firstLine="0" w:firstLineChars="0"/>
              <w:rPr>
                <w:sz w:val="21"/>
                <w:szCs w:val="21"/>
              </w:rPr>
            </w:pPr>
            <w:r>
              <w:rPr>
                <w:sz w:val="21"/>
                <w:szCs w:val="21"/>
              </w:rPr>
              <w:t>年产小风电塔筒1#32套、大风电塔筒2#2套、上下支架1套、实验基座1套，共计约7497.355吨</w:t>
            </w:r>
          </w:p>
        </w:tc>
        <w:tc>
          <w:tcPr>
            <w:tcW w:w="1388" w:type="pct"/>
            <w:vAlign w:val="center"/>
          </w:tcPr>
          <w:p w14:paraId="740FBEB0">
            <w:pPr>
              <w:spacing w:line="240" w:lineRule="auto"/>
              <w:ind w:firstLine="0" w:firstLineChars="0"/>
              <w:rPr>
                <w:sz w:val="21"/>
                <w:szCs w:val="21"/>
              </w:rPr>
            </w:pPr>
          </w:p>
        </w:tc>
        <w:tc>
          <w:tcPr>
            <w:tcW w:w="720" w:type="pct"/>
            <w:vAlign w:val="center"/>
          </w:tcPr>
          <w:p w14:paraId="1D7BB568">
            <w:pPr>
              <w:spacing w:line="240" w:lineRule="auto"/>
              <w:ind w:firstLine="0" w:firstLineChars="0"/>
              <w:rPr>
                <w:sz w:val="21"/>
                <w:szCs w:val="21"/>
              </w:rPr>
            </w:pPr>
            <w:r>
              <w:rPr>
                <w:sz w:val="21"/>
                <w:szCs w:val="21"/>
              </w:rPr>
              <w:t>通用设备制造业</w:t>
            </w:r>
          </w:p>
        </w:tc>
      </w:tr>
      <w:tr w14:paraId="7EC8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B2E6D97">
            <w:pPr>
              <w:spacing w:line="240" w:lineRule="auto"/>
              <w:ind w:firstLine="0" w:firstLineChars="0"/>
              <w:rPr>
                <w:sz w:val="21"/>
                <w:szCs w:val="21"/>
              </w:rPr>
            </w:pPr>
            <w:r>
              <w:rPr>
                <w:sz w:val="21"/>
                <w:szCs w:val="21"/>
              </w:rPr>
              <w:t>64</w:t>
            </w:r>
          </w:p>
        </w:tc>
        <w:tc>
          <w:tcPr>
            <w:tcW w:w="856" w:type="pct"/>
            <w:vAlign w:val="center"/>
          </w:tcPr>
          <w:p w14:paraId="16F7CBD1">
            <w:pPr>
              <w:spacing w:line="240" w:lineRule="auto"/>
              <w:ind w:firstLine="0" w:firstLineChars="0"/>
              <w:rPr>
                <w:sz w:val="21"/>
                <w:szCs w:val="21"/>
              </w:rPr>
            </w:pPr>
            <w:r>
              <w:rPr>
                <w:sz w:val="21"/>
                <w:szCs w:val="21"/>
              </w:rPr>
              <w:t>内蒙古青杉汽车有限公司</w:t>
            </w:r>
          </w:p>
        </w:tc>
        <w:tc>
          <w:tcPr>
            <w:tcW w:w="1388" w:type="pct"/>
            <w:vAlign w:val="center"/>
          </w:tcPr>
          <w:p w14:paraId="17DBC4E5">
            <w:pPr>
              <w:spacing w:line="240" w:lineRule="auto"/>
              <w:ind w:firstLine="0" w:firstLineChars="0"/>
              <w:rPr>
                <w:sz w:val="21"/>
                <w:szCs w:val="21"/>
              </w:rPr>
            </w:pPr>
            <w:r>
              <w:rPr>
                <w:sz w:val="21"/>
                <w:szCs w:val="21"/>
              </w:rPr>
              <w:t>年产新能源客车3000辆、新能源专用车5000辆</w:t>
            </w:r>
          </w:p>
        </w:tc>
        <w:tc>
          <w:tcPr>
            <w:tcW w:w="1388" w:type="pct"/>
            <w:vAlign w:val="center"/>
          </w:tcPr>
          <w:p w14:paraId="1B93405F">
            <w:pPr>
              <w:spacing w:line="240" w:lineRule="auto"/>
              <w:ind w:firstLine="0" w:firstLineChars="0"/>
              <w:rPr>
                <w:sz w:val="21"/>
                <w:szCs w:val="21"/>
              </w:rPr>
            </w:pPr>
            <w:r>
              <w:rPr>
                <w:sz w:val="21"/>
                <w:szCs w:val="21"/>
              </w:rPr>
              <w:t>制件车间、焊接车间、涂装车间、总装车间、完检车间、淋雨试验车间等，采用硅烷陶化表面处理工艺，以替代环保性差和有毒的电泳前处理常用的磷化处理工艺</w:t>
            </w:r>
          </w:p>
        </w:tc>
        <w:tc>
          <w:tcPr>
            <w:tcW w:w="720" w:type="pct"/>
            <w:vAlign w:val="center"/>
          </w:tcPr>
          <w:p w14:paraId="1991E985">
            <w:pPr>
              <w:spacing w:line="240" w:lineRule="auto"/>
              <w:ind w:firstLine="0" w:firstLineChars="0"/>
              <w:rPr>
                <w:sz w:val="21"/>
                <w:szCs w:val="21"/>
              </w:rPr>
            </w:pPr>
            <w:r>
              <w:rPr>
                <w:sz w:val="21"/>
                <w:szCs w:val="21"/>
              </w:rPr>
              <w:t>汽车制造业</w:t>
            </w:r>
          </w:p>
        </w:tc>
      </w:tr>
      <w:tr w14:paraId="58F4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DDC58AB">
            <w:pPr>
              <w:spacing w:line="240" w:lineRule="auto"/>
              <w:ind w:firstLine="0" w:firstLineChars="0"/>
              <w:rPr>
                <w:sz w:val="21"/>
                <w:szCs w:val="21"/>
              </w:rPr>
            </w:pPr>
            <w:r>
              <w:rPr>
                <w:sz w:val="21"/>
                <w:szCs w:val="21"/>
              </w:rPr>
              <w:t>65</w:t>
            </w:r>
          </w:p>
        </w:tc>
        <w:tc>
          <w:tcPr>
            <w:tcW w:w="856" w:type="pct"/>
            <w:vAlign w:val="center"/>
          </w:tcPr>
          <w:p w14:paraId="11B80EFB">
            <w:pPr>
              <w:spacing w:line="240" w:lineRule="auto"/>
              <w:ind w:firstLine="0" w:firstLineChars="0"/>
              <w:rPr>
                <w:sz w:val="21"/>
                <w:szCs w:val="21"/>
              </w:rPr>
            </w:pPr>
            <w:r>
              <w:rPr>
                <w:sz w:val="21"/>
                <w:szCs w:val="21"/>
              </w:rPr>
              <w:t>包头市国安科技有限公司</w:t>
            </w:r>
          </w:p>
        </w:tc>
        <w:tc>
          <w:tcPr>
            <w:tcW w:w="1388" w:type="pct"/>
            <w:vAlign w:val="center"/>
          </w:tcPr>
          <w:p w14:paraId="4D76F671">
            <w:pPr>
              <w:spacing w:line="240" w:lineRule="auto"/>
              <w:ind w:firstLine="0" w:firstLineChars="0"/>
              <w:rPr>
                <w:sz w:val="21"/>
                <w:szCs w:val="21"/>
              </w:rPr>
            </w:pPr>
            <w:r>
              <w:rPr>
                <w:sz w:val="21"/>
                <w:szCs w:val="21"/>
              </w:rPr>
              <w:t>年产防爆纯电动无轨辅助运输设备、防爆低污染无轨辅助运输设备等矿用辅助运输设备400台</w:t>
            </w:r>
          </w:p>
        </w:tc>
        <w:tc>
          <w:tcPr>
            <w:tcW w:w="1388" w:type="pct"/>
            <w:vAlign w:val="center"/>
          </w:tcPr>
          <w:p w14:paraId="080D2AA5">
            <w:pPr>
              <w:spacing w:line="240" w:lineRule="auto"/>
              <w:ind w:firstLine="0" w:firstLineChars="0"/>
              <w:rPr>
                <w:sz w:val="21"/>
                <w:szCs w:val="21"/>
              </w:rPr>
            </w:pPr>
            <w:r>
              <w:rPr>
                <w:sz w:val="21"/>
                <w:szCs w:val="21"/>
              </w:rPr>
              <w:t>原料经机械加工后即成成品，无喷漆工序</w:t>
            </w:r>
          </w:p>
        </w:tc>
        <w:tc>
          <w:tcPr>
            <w:tcW w:w="720" w:type="pct"/>
            <w:vAlign w:val="center"/>
          </w:tcPr>
          <w:p w14:paraId="0717DFEF">
            <w:pPr>
              <w:spacing w:line="240" w:lineRule="auto"/>
              <w:ind w:firstLine="0" w:firstLineChars="0"/>
              <w:rPr>
                <w:sz w:val="21"/>
                <w:szCs w:val="21"/>
              </w:rPr>
            </w:pPr>
            <w:r>
              <w:rPr>
                <w:sz w:val="21"/>
                <w:szCs w:val="21"/>
              </w:rPr>
              <w:t>专用设备制造业</w:t>
            </w:r>
          </w:p>
        </w:tc>
      </w:tr>
      <w:tr w14:paraId="2E12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46C7C80">
            <w:pPr>
              <w:spacing w:line="240" w:lineRule="auto"/>
              <w:ind w:firstLine="0" w:firstLineChars="0"/>
              <w:rPr>
                <w:sz w:val="21"/>
                <w:szCs w:val="21"/>
              </w:rPr>
            </w:pPr>
            <w:r>
              <w:rPr>
                <w:sz w:val="21"/>
                <w:szCs w:val="21"/>
              </w:rPr>
              <w:t>66</w:t>
            </w:r>
          </w:p>
        </w:tc>
        <w:tc>
          <w:tcPr>
            <w:tcW w:w="856" w:type="pct"/>
            <w:vAlign w:val="center"/>
          </w:tcPr>
          <w:p w14:paraId="22C83828">
            <w:pPr>
              <w:spacing w:line="240" w:lineRule="auto"/>
              <w:ind w:firstLine="0" w:firstLineChars="0"/>
              <w:rPr>
                <w:sz w:val="21"/>
                <w:szCs w:val="21"/>
              </w:rPr>
            </w:pPr>
            <w:r>
              <w:rPr>
                <w:sz w:val="21"/>
                <w:szCs w:val="21"/>
              </w:rPr>
              <w:t>内蒙古华钺实业有限公司</w:t>
            </w:r>
          </w:p>
        </w:tc>
        <w:tc>
          <w:tcPr>
            <w:tcW w:w="1388" w:type="pct"/>
            <w:vAlign w:val="center"/>
          </w:tcPr>
          <w:p w14:paraId="4DAD8BA1">
            <w:pPr>
              <w:spacing w:line="240" w:lineRule="auto"/>
              <w:ind w:firstLine="0" w:firstLineChars="0"/>
              <w:rPr>
                <w:sz w:val="21"/>
                <w:szCs w:val="21"/>
              </w:rPr>
            </w:pPr>
            <w:r>
              <w:rPr>
                <w:sz w:val="21"/>
                <w:szCs w:val="21"/>
              </w:rPr>
              <w:t>年产1000台非公路宽体矿用车厢、挖机铲斗100台套、安装非公路宽体矿用车零部件</w:t>
            </w:r>
          </w:p>
        </w:tc>
        <w:tc>
          <w:tcPr>
            <w:tcW w:w="1388" w:type="pct"/>
            <w:vAlign w:val="center"/>
          </w:tcPr>
          <w:p w14:paraId="40B9D794">
            <w:pPr>
              <w:spacing w:line="240" w:lineRule="auto"/>
              <w:ind w:firstLine="0" w:firstLineChars="0"/>
              <w:rPr>
                <w:sz w:val="21"/>
                <w:szCs w:val="21"/>
              </w:rPr>
            </w:pPr>
          </w:p>
        </w:tc>
        <w:tc>
          <w:tcPr>
            <w:tcW w:w="720" w:type="pct"/>
            <w:vAlign w:val="center"/>
          </w:tcPr>
          <w:p w14:paraId="212BB7C9">
            <w:pPr>
              <w:spacing w:line="240" w:lineRule="auto"/>
              <w:ind w:firstLine="0" w:firstLineChars="0"/>
              <w:rPr>
                <w:sz w:val="21"/>
                <w:szCs w:val="21"/>
              </w:rPr>
            </w:pPr>
            <w:r>
              <w:rPr>
                <w:sz w:val="21"/>
                <w:szCs w:val="21"/>
              </w:rPr>
              <w:t>专用设备制造业</w:t>
            </w:r>
          </w:p>
        </w:tc>
      </w:tr>
      <w:tr w14:paraId="4903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4FA2AEC">
            <w:pPr>
              <w:spacing w:line="240" w:lineRule="auto"/>
              <w:ind w:firstLine="0" w:firstLineChars="0"/>
              <w:rPr>
                <w:sz w:val="21"/>
                <w:szCs w:val="21"/>
              </w:rPr>
            </w:pPr>
            <w:r>
              <w:rPr>
                <w:sz w:val="21"/>
                <w:szCs w:val="21"/>
              </w:rPr>
              <w:t>67</w:t>
            </w:r>
          </w:p>
        </w:tc>
        <w:tc>
          <w:tcPr>
            <w:tcW w:w="856" w:type="pct"/>
            <w:vAlign w:val="center"/>
          </w:tcPr>
          <w:p w14:paraId="5EBFABBD">
            <w:pPr>
              <w:spacing w:line="240" w:lineRule="auto"/>
              <w:ind w:firstLine="0" w:firstLineChars="0"/>
              <w:rPr>
                <w:sz w:val="21"/>
                <w:szCs w:val="21"/>
              </w:rPr>
            </w:pPr>
            <w:r>
              <w:rPr>
                <w:sz w:val="21"/>
                <w:szCs w:val="21"/>
              </w:rPr>
              <w:t>内蒙古乾运高科新材料有限公司</w:t>
            </w:r>
          </w:p>
        </w:tc>
        <w:tc>
          <w:tcPr>
            <w:tcW w:w="1388" w:type="pct"/>
            <w:vAlign w:val="center"/>
          </w:tcPr>
          <w:p w14:paraId="3F9FB2F7">
            <w:pPr>
              <w:spacing w:line="240" w:lineRule="auto"/>
              <w:ind w:firstLine="0" w:firstLineChars="0"/>
              <w:rPr>
                <w:sz w:val="21"/>
                <w:szCs w:val="21"/>
              </w:rPr>
            </w:pPr>
            <w:r>
              <w:rPr>
                <w:sz w:val="21"/>
                <w:szCs w:val="21"/>
              </w:rPr>
              <w:t>年产3.5万吨镍钴锰酸锂三元正极材料</w:t>
            </w:r>
          </w:p>
        </w:tc>
        <w:tc>
          <w:tcPr>
            <w:tcW w:w="1388" w:type="pct"/>
            <w:vAlign w:val="center"/>
          </w:tcPr>
          <w:p w14:paraId="5718DB99">
            <w:pPr>
              <w:spacing w:line="240" w:lineRule="auto"/>
              <w:ind w:firstLine="0" w:firstLineChars="0"/>
              <w:rPr>
                <w:sz w:val="21"/>
                <w:szCs w:val="21"/>
              </w:rPr>
            </w:pPr>
            <w:r>
              <w:rPr>
                <w:sz w:val="21"/>
                <w:szCs w:val="21"/>
              </w:rPr>
              <w:t>配料混料、一次烧结、粉碎分级、混批过筛除铁、自动包装等工序</w:t>
            </w:r>
          </w:p>
        </w:tc>
        <w:tc>
          <w:tcPr>
            <w:tcW w:w="720" w:type="pct"/>
            <w:vAlign w:val="center"/>
          </w:tcPr>
          <w:p w14:paraId="517D3998">
            <w:pPr>
              <w:spacing w:line="240" w:lineRule="auto"/>
              <w:ind w:firstLine="0" w:firstLineChars="0"/>
              <w:rPr>
                <w:sz w:val="21"/>
                <w:szCs w:val="21"/>
              </w:rPr>
            </w:pPr>
            <w:r>
              <w:rPr>
                <w:sz w:val="21"/>
                <w:szCs w:val="21"/>
              </w:rPr>
              <w:t>电子元件及电子专用材料制造</w:t>
            </w:r>
          </w:p>
        </w:tc>
      </w:tr>
      <w:tr w14:paraId="6A2B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BF1FCA8">
            <w:pPr>
              <w:spacing w:line="240" w:lineRule="auto"/>
              <w:ind w:firstLine="0" w:firstLineChars="0"/>
              <w:rPr>
                <w:sz w:val="21"/>
                <w:szCs w:val="21"/>
              </w:rPr>
            </w:pPr>
            <w:r>
              <w:rPr>
                <w:sz w:val="21"/>
                <w:szCs w:val="21"/>
              </w:rPr>
              <w:t>68</w:t>
            </w:r>
          </w:p>
        </w:tc>
        <w:tc>
          <w:tcPr>
            <w:tcW w:w="856" w:type="pct"/>
            <w:vAlign w:val="center"/>
          </w:tcPr>
          <w:p w14:paraId="2DE245E3">
            <w:pPr>
              <w:spacing w:line="240" w:lineRule="auto"/>
              <w:ind w:firstLine="0" w:firstLineChars="0"/>
              <w:rPr>
                <w:sz w:val="21"/>
                <w:szCs w:val="21"/>
              </w:rPr>
            </w:pPr>
            <w:r>
              <w:rPr>
                <w:sz w:val="21"/>
                <w:szCs w:val="21"/>
              </w:rPr>
              <w:t>包头恒泰科技有限公司</w:t>
            </w:r>
          </w:p>
        </w:tc>
        <w:tc>
          <w:tcPr>
            <w:tcW w:w="1388" w:type="pct"/>
            <w:vAlign w:val="center"/>
          </w:tcPr>
          <w:p w14:paraId="62F31ED0">
            <w:pPr>
              <w:spacing w:line="240" w:lineRule="auto"/>
              <w:ind w:firstLine="0" w:firstLineChars="0"/>
              <w:rPr>
                <w:sz w:val="21"/>
                <w:szCs w:val="21"/>
              </w:rPr>
            </w:pPr>
            <w:r>
              <w:rPr>
                <w:sz w:val="21"/>
                <w:szCs w:val="21"/>
              </w:rPr>
              <w:t>年产2000辆（铝合金）挂车及1000台（铝合金）集装箱</w:t>
            </w:r>
          </w:p>
        </w:tc>
        <w:tc>
          <w:tcPr>
            <w:tcW w:w="1388" w:type="pct"/>
            <w:vAlign w:val="center"/>
          </w:tcPr>
          <w:p w14:paraId="63C933CE">
            <w:pPr>
              <w:spacing w:line="240" w:lineRule="auto"/>
              <w:ind w:firstLine="0" w:firstLineChars="0"/>
              <w:rPr>
                <w:sz w:val="21"/>
                <w:szCs w:val="21"/>
              </w:rPr>
            </w:pPr>
            <w:r>
              <w:rPr>
                <w:sz w:val="21"/>
                <w:szCs w:val="21"/>
              </w:rPr>
              <w:t>下料、机加工、焊接、组装、打磨、喷砂、调漆、喷漆、烘干</w:t>
            </w:r>
          </w:p>
        </w:tc>
        <w:tc>
          <w:tcPr>
            <w:tcW w:w="720" w:type="pct"/>
            <w:vAlign w:val="center"/>
          </w:tcPr>
          <w:p w14:paraId="60B05EE0">
            <w:pPr>
              <w:spacing w:line="240" w:lineRule="auto"/>
              <w:ind w:firstLine="0" w:firstLineChars="0"/>
              <w:rPr>
                <w:sz w:val="21"/>
                <w:szCs w:val="21"/>
              </w:rPr>
            </w:pPr>
            <w:r>
              <w:rPr>
                <w:sz w:val="21"/>
                <w:szCs w:val="21"/>
              </w:rPr>
              <w:t>汽车制造业</w:t>
            </w:r>
          </w:p>
        </w:tc>
      </w:tr>
      <w:tr w14:paraId="0703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A8A4732">
            <w:pPr>
              <w:spacing w:line="240" w:lineRule="auto"/>
              <w:ind w:firstLine="0" w:firstLineChars="0"/>
              <w:rPr>
                <w:sz w:val="21"/>
                <w:szCs w:val="21"/>
              </w:rPr>
            </w:pPr>
            <w:r>
              <w:rPr>
                <w:sz w:val="21"/>
                <w:szCs w:val="21"/>
              </w:rPr>
              <w:t>69</w:t>
            </w:r>
          </w:p>
        </w:tc>
        <w:tc>
          <w:tcPr>
            <w:tcW w:w="856" w:type="pct"/>
            <w:vAlign w:val="center"/>
          </w:tcPr>
          <w:p w14:paraId="092A82A7">
            <w:pPr>
              <w:spacing w:line="240" w:lineRule="auto"/>
              <w:ind w:firstLine="0" w:firstLineChars="0"/>
              <w:rPr>
                <w:sz w:val="21"/>
                <w:szCs w:val="21"/>
              </w:rPr>
            </w:pPr>
            <w:r>
              <w:rPr>
                <w:sz w:val="21"/>
                <w:szCs w:val="21"/>
              </w:rPr>
              <w:t>包头市众鑫昌盛磁业有限公司</w:t>
            </w:r>
          </w:p>
        </w:tc>
        <w:tc>
          <w:tcPr>
            <w:tcW w:w="1388" w:type="pct"/>
            <w:vAlign w:val="center"/>
          </w:tcPr>
          <w:p w14:paraId="6B20EA58">
            <w:pPr>
              <w:spacing w:line="240" w:lineRule="auto"/>
              <w:ind w:firstLine="0" w:firstLineChars="0"/>
              <w:rPr>
                <w:sz w:val="21"/>
                <w:szCs w:val="21"/>
              </w:rPr>
            </w:pPr>
            <w:r>
              <w:rPr>
                <w:sz w:val="21"/>
                <w:szCs w:val="21"/>
              </w:rPr>
              <w:t>年加工2000吨钕铁硼磁片</w:t>
            </w:r>
          </w:p>
        </w:tc>
        <w:tc>
          <w:tcPr>
            <w:tcW w:w="1388" w:type="pct"/>
            <w:vAlign w:val="center"/>
          </w:tcPr>
          <w:p w14:paraId="3253E3CC">
            <w:pPr>
              <w:spacing w:line="240" w:lineRule="auto"/>
              <w:ind w:firstLine="0" w:firstLineChars="0"/>
              <w:rPr>
                <w:sz w:val="21"/>
                <w:szCs w:val="21"/>
              </w:rPr>
            </w:pPr>
          </w:p>
        </w:tc>
        <w:tc>
          <w:tcPr>
            <w:tcW w:w="720" w:type="pct"/>
            <w:vAlign w:val="center"/>
          </w:tcPr>
          <w:p w14:paraId="5C693281">
            <w:pPr>
              <w:spacing w:line="240" w:lineRule="auto"/>
              <w:ind w:firstLine="0" w:firstLineChars="0"/>
              <w:rPr>
                <w:sz w:val="21"/>
                <w:szCs w:val="21"/>
              </w:rPr>
            </w:pPr>
            <w:r>
              <w:rPr>
                <w:sz w:val="21"/>
                <w:szCs w:val="21"/>
              </w:rPr>
              <w:t>电子元件及电子专用材料制造</w:t>
            </w:r>
          </w:p>
        </w:tc>
      </w:tr>
      <w:tr w14:paraId="5A41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6264F23">
            <w:pPr>
              <w:spacing w:line="240" w:lineRule="auto"/>
              <w:ind w:firstLine="0" w:firstLineChars="0"/>
              <w:rPr>
                <w:sz w:val="21"/>
                <w:szCs w:val="21"/>
              </w:rPr>
            </w:pPr>
            <w:r>
              <w:rPr>
                <w:sz w:val="21"/>
                <w:szCs w:val="21"/>
              </w:rPr>
              <w:t>70</w:t>
            </w:r>
          </w:p>
        </w:tc>
        <w:tc>
          <w:tcPr>
            <w:tcW w:w="856" w:type="pct"/>
            <w:vAlign w:val="center"/>
          </w:tcPr>
          <w:p w14:paraId="6902A3E4">
            <w:pPr>
              <w:spacing w:line="240" w:lineRule="auto"/>
              <w:ind w:firstLine="0" w:firstLineChars="0"/>
              <w:rPr>
                <w:sz w:val="21"/>
                <w:szCs w:val="21"/>
              </w:rPr>
            </w:pPr>
            <w:r>
              <w:rPr>
                <w:sz w:val="21"/>
                <w:szCs w:val="21"/>
              </w:rPr>
              <w:t>内蒙古龙泰建设科技有限公司</w:t>
            </w:r>
          </w:p>
        </w:tc>
        <w:tc>
          <w:tcPr>
            <w:tcW w:w="1388" w:type="pct"/>
            <w:vAlign w:val="center"/>
          </w:tcPr>
          <w:p w14:paraId="35F5D044">
            <w:pPr>
              <w:spacing w:line="240" w:lineRule="auto"/>
              <w:ind w:firstLine="0" w:firstLineChars="0"/>
              <w:rPr>
                <w:sz w:val="21"/>
                <w:szCs w:val="21"/>
              </w:rPr>
            </w:pPr>
            <w:r>
              <w:rPr>
                <w:sz w:val="21"/>
                <w:szCs w:val="21"/>
              </w:rPr>
              <w:t>2.5万吨装配式钢结构及钢结构桥梁</w:t>
            </w:r>
          </w:p>
        </w:tc>
        <w:tc>
          <w:tcPr>
            <w:tcW w:w="1388" w:type="pct"/>
            <w:vAlign w:val="center"/>
          </w:tcPr>
          <w:p w14:paraId="1B3A18DF">
            <w:pPr>
              <w:spacing w:line="240" w:lineRule="auto"/>
              <w:ind w:firstLine="0" w:firstLineChars="0"/>
              <w:rPr>
                <w:sz w:val="21"/>
                <w:szCs w:val="21"/>
              </w:rPr>
            </w:pPr>
            <w:r>
              <w:rPr>
                <w:sz w:val="21"/>
                <w:szCs w:val="21"/>
              </w:rPr>
              <w:t>下料、机加工、焊接、组装、打磨、喷砂、调漆、喷漆、晾干</w:t>
            </w:r>
          </w:p>
        </w:tc>
        <w:tc>
          <w:tcPr>
            <w:tcW w:w="720" w:type="pct"/>
            <w:vAlign w:val="center"/>
          </w:tcPr>
          <w:p w14:paraId="28E69C5F">
            <w:pPr>
              <w:spacing w:line="240" w:lineRule="auto"/>
              <w:ind w:firstLine="0" w:firstLineChars="0"/>
              <w:rPr>
                <w:sz w:val="21"/>
                <w:szCs w:val="21"/>
              </w:rPr>
            </w:pPr>
            <w:r>
              <w:rPr>
                <w:sz w:val="21"/>
                <w:szCs w:val="21"/>
              </w:rPr>
              <w:t>金属制品业</w:t>
            </w:r>
          </w:p>
        </w:tc>
      </w:tr>
      <w:tr w14:paraId="12A9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B598630">
            <w:pPr>
              <w:spacing w:line="240" w:lineRule="auto"/>
              <w:ind w:firstLine="0" w:firstLineChars="0"/>
              <w:rPr>
                <w:sz w:val="21"/>
                <w:szCs w:val="21"/>
              </w:rPr>
            </w:pPr>
            <w:r>
              <w:rPr>
                <w:sz w:val="21"/>
                <w:szCs w:val="21"/>
              </w:rPr>
              <w:t>71</w:t>
            </w:r>
          </w:p>
        </w:tc>
        <w:tc>
          <w:tcPr>
            <w:tcW w:w="856" w:type="pct"/>
            <w:vAlign w:val="center"/>
          </w:tcPr>
          <w:p w14:paraId="4D323E5F">
            <w:pPr>
              <w:spacing w:line="240" w:lineRule="auto"/>
              <w:ind w:firstLine="0" w:firstLineChars="0"/>
              <w:rPr>
                <w:sz w:val="21"/>
                <w:szCs w:val="21"/>
              </w:rPr>
            </w:pPr>
            <w:r>
              <w:rPr>
                <w:sz w:val="21"/>
                <w:szCs w:val="21"/>
              </w:rPr>
              <w:t>内蒙古晶诺新材料科技有限公司</w:t>
            </w:r>
          </w:p>
        </w:tc>
        <w:tc>
          <w:tcPr>
            <w:tcW w:w="1388" w:type="pct"/>
            <w:vAlign w:val="center"/>
          </w:tcPr>
          <w:p w14:paraId="5E850B48">
            <w:pPr>
              <w:spacing w:line="240" w:lineRule="auto"/>
              <w:ind w:firstLine="0" w:firstLineChars="0"/>
              <w:rPr>
                <w:sz w:val="21"/>
                <w:szCs w:val="21"/>
              </w:rPr>
            </w:pPr>
            <w:r>
              <w:rPr>
                <w:sz w:val="21"/>
                <w:szCs w:val="21"/>
              </w:rPr>
              <w:t>年处理能力14600吨硅料加工项目</w:t>
            </w:r>
          </w:p>
        </w:tc>
        <w:tc>
          <w:tcPr>
            <w:tcW w:w="1388" w:type="pct"/>
            <w:vAlign w:val="center"/>
          </w:tcPr>
          <w:p w14:paraId="4F4A16AE">
            <w:pPr>
              <w:spacing w:line="240" w:lineRule="auto"/>
              <w:ind w:firstLine="0" w:firstLineChars="0"/>
              <w:rPr>
                <w:sz w:val="21"/>
                <w:szCs w:val="21"/>
              </w:rPr>
            </w:pPr>
            <w:r>
              <w:rPr>
                <w:sz w:val="21"/>
                <w:szCs w:val="21"/>
              </w:rPr>
              <w:t>检验、擦拭、碱洗、水洗、除胶、破碎筛分、酸洗、水洗、超声、烘干、检验、包装</w:t>
            </w:r>
          </w:p>
        </w:tc>
        <w:tc>
          <w:tcPr>
            <w:tcW w:w="720" w:type="pct"/>
            <w:vAlign w:val="center"/>
          </w:tcPr>
          <w:p w14:paraId="1BD74245">
            <w:pPr>
              <w:spacing w:line="240" w:lineRule="auto"/>
              <w:ind w:firstLine="0" w:firstLineChars="0"/>
              <w:rPr>
                <w:sz w:val="21"/>
                <w:szCs w:val="21"/>
              </w:rPr>
            </w:pPr>
            <w:r>
              <w:rPr>
                <w:sz w:val="21"/>
                <w:szCs w:val="21"/>
              </w:rPr>
              <w:t>非金属矿物制品业</w:t>
            </w:r>
          </w:p>
        </w:tc>
      </w:tr>
      <w:tr w14:paraId="5245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BB1511F">
            <w:pPr>
              <w:spacing w:line="240" w:lineRule="auto"/>
              <w:ind w:firstLine="0" w:firstLineChars="0"/>
              <w:rPr>
                <w:sz w:val="21"/>
                <w:szCs w:val="21"/>
              </w:rPr>
            </w:pPr>
            <w:r>
              <w:rPr>
                <w:sz w:val="21"/>
                <w:szCs w:val="21"/>
              </w:rPr>
              <w:t>72</w:t>
            </w:r>
          </w:p>
        </w:tc>
        <w:tc>
          <w:tcPr>
            <w:tcW w:w="856" w:type="pct"/>
            <w:vAlign w:val="center"/>
          </w:tcPr>
          <w:p w14:paraId="720A6ABD">
            <w:pPr>
              <w:spacing w:line="240" w:lineRule="auto"/>
              <w:ind w:firstLine="0" w:firstLineChars="0"/>
              <w:rPr>
                <w:sz w:val="21"/>
                <w:szCs w:val="21"/>
              </w:rPr>
            </w:pPr>
            <w:r>
              <w:rPr>
                <w:sz w:val="21"/>
                <w:szCs w:val="21"/>
              </w:rPr>
              <w:t>内蒙古红泉地再生资源科技发展有限公司</w:t>
            </w:r>
          </w:p>
        </w:tc>
        <w:tc>
          <w:tcPr>
            <w:tcW w:w="1388" w:type="pct"/>
            <w:vAlign w:val="center"/>
          </w:tcPr>
          <w:p w14:paraId="4DB99D3A">
            <w:pPr>
              <w:spacing w:line="240" w:lineRule="auto"/>
              <w:ind w:firstLine="0" w:firstLineChars="0"/>
              <w:rPr>
                <w:sz w:val="21"/>
                <w:szCs w:val="21"/>
              </w:rPr>
            </w:pPr>
            <w:r>
              <w:rPr>
                <w:sz w:val="21"/>
                <w:szCs w:val="21"/>
              </w:rPr>
              <w:t>年拆解10000台的报废汽车回收拆解利用项目</w:t>
            </w:r>
          </w:p>
        </w:tc>
        <w:tc>
          <w:tcPr>
            <w:tcW w:w="1388" w:type="pct"/>
            <w:vAlign w:val="center"/>
          </w:tcPr>
          <w:p w14:paraId="63216E3E">
            <w:pPr>
              <w:spacing w:line="240" w:lineRule="auto"/>
              <w:ind w:firstLine="0" w:firstLineChars="0"/>
              <w:rPr>
                <w:sz w:val="21"/>
                <w:szCs w:val="21"/>
              </w:rPr>
            </w:pPr>
            <w:r>
              <w:rPr>
                <w:sz w:val="21"/>
                <w:szCs w:val="21"/>
              </w:rPr>
              <w:t>报废汽车—预处理—拆解—后处理</w:t>
            </w:r>
          </w:p>
        </w:tc>
        <w:tc>
          <w:tcPr>
            <w:tcW w:w="720" w:type="pct"/>
            <w:vAlign w:val="center"/>
          </w:tcPr>
          <w:p w14:paraId="42D61D7F">
            <w:pPr>
              <w:spacing w:line="240" w:lineRule="auto"/>
              <w:ind w:firstLine="0" w:firstLineChars="0"/>
              <w:rPr>
                <w:sz w:val="21"/>
                <w:szCs w:val="21"/>
              </w:rPr>
            </w:pPr>
            <w:r>
              <w:rPr>
                <w:sz w:val="21"/>
                <w:szCs w:val="21"/>
              </w:rPr>
              <w:t>废弃资源综合利用业</w:t>
            </w:r>
          </w:p>
        </w:tc>
      </w:tr>
      <w:tr w14:paraId="62A5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50061EA">
            <w:pPr>
              <w:spacing w:line="240" w:lineRule="auto"/>
              <w:ind w:firstLine="0" w:firstLineChars="0"/>
              <w:rPr>
                <w:sz w:val="21"/>
                <w:szCs w:val="21"/>
              </w:rPr>
            </w:pPr>
            <w:r>
              <w:rPr>
                <w:sz w:val="21"/>
                <w:szCs w:val="21"/>
              </w:rPr>
              <w:t>73</w:t>
            </w:r>
          </w:p>
        </w:tc>
        <w:tc>
          <w:tcPr>
            <w:tcW w:w="856" w:type="pct"/>
            <w:vAlign w:val="center"/>
          </w:tcPr>
          <w:p w14:paraId="4C5DCE7E">
            <w:pPr>
              <w:spacing w:line="240" w:lineRule="auto"/>
              <w:ind w:firstLine="0" w:firstLineChars="0"/>
              <w:rPr>
                <w:sz w:val="21"/>
                <w:szCs w:val="21"/>
              </w:rPr>
            </w:pPr>
            <w:r>
              <w:rPr>
                <w:sz w:val="21"/>
                <w:szCs w:val="21"/>
              </w:rPr>
              <w:t>内蒙古振晖新材料科技有限公司</w:t>
            </w:r>
          </w:p>
        </w:tc>
        <w:tc>
          <w:tcPr>
            <w:tcW w:w="1388" w:type="pct"/>
            <w:vAlign w:val="center"/>
          </w:tcPr>
          <w:p w14:paraId="00CABEA3">
            <w:pPr>
              <w:spacing w:line="240" w:lineRule="auto"/>
              <w:ind w:firstLine="0" w:firstLineChars="0"/>
              <w:rPr>
                <w:sz w:val="21"/>
                <w:szCs w:val="21"/>
              </w:rPr>
            </w:pPr>
            <w:r>
              <w:rPr>
                <w:sz w:val="21"/>
                <w:szCs w:val="21"/>
              </w:rPr>
              <w:t>年产石墨制品1500t</w:t>
            </w:r>
          </w:p>
        </w:tc>
        <w:tc>
          <w:tcPr>
            <w:tcW w:w="1388" w:type="pct"/>
            <w:vAlign w:val="center"/>
          </w:tcPr>
          <w:p w14:paraId="330F282E">
            <w:pPr>
              <w:spacing w:line="240" w:lineRule="auto"/>
              <w:ind w:firstLine="0" w:firstLineChars="0"/>
              <w:rPr>
                <w:sz w:val="21"/>
                <w:szCs w:val="21"/>
              </w:rPr>
            </w:pPr>
            <w:r>
              <w:rPr>
                <w:sz w:val="21"/>
                <w:szCs w:val="21"/>
              </w:rPr>
              <w:t>原料石墨经探伤分析合格后进行分割，然后经车床、铣床等设备进行加工成各种不同形状的物体</w:t>
            </w:r>
          </w:p>
        </w:tc>
        <w:tc>
          <w:tcPr>
            <w:tcW w:w="720" w:type="pct"/>
            <w:vAlign w:val="center"/>
          </w:tcPr>
          <w:p w14:paraId="488EDF25">
            <w:pPr>
              <w:spacing w:line="240" w:lineRule="auto"/>
              <w:ind w:firstLine="0" w:firstLineChars="0"/>
              <w:rPr>
                <w:sz w:val="21"/>
                <w:szCs w:val="21"/>
              </w:rPr>
            </w:pPr>
            <w:r>
              <w:rPr>
                <w:sz w:val="21"/>
                <w:szCs w:val="21"/>
              </w:rPr>
              <w:t>非金属矿物制品制造业</w:t>
            </w:r>
          </w:p>
        </w:tc>
      </w:tr>
      <w:tr w14:paraId="2D3B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F6169EC">
            <w:pPr>
              <w:spacing w:line="240" w:lineRule="auto"/>
              <w:ind w:firstLine="0" w:firstLineChars="0"/>
              <w:rPr>
                <w:sz w:val="21"/>
                <w:szCs w:val="21"/>
              </w:rPr>
            </w:pPr>
            <w:r>
              <w:rPr>
                <w:sz w:val="21"/>
                <w:szCs w:val="21"/>
              </w:rPr>
              <w:t>74</w:t>
            </w:r>
          </w:p>
        </w:tc>
        <w:tc>
          <w:tcPr>
            <w:tcW w:w="856" w:type="pct"/>
            <w:vAlign w:val="center"/>
          </w:tcPr>
          <w:p w14:paraId="1F48D5C9">
            <w:pPr>
              <w:spacing w:line="240" w:lineRule="auto"/>
              <w:ind w:firstLine="0" w:firstLineChars="0"/>
              <w:rPr>
                <w:sz w:val="21"/>
                <w:szCs w:val="21"/>
              </w:rPr>
            </w:pPr>
            <w:r>
              <w:rPr>
                <w:sz w:val="21"/>
                <w:szCs w:val="21"/>
              </w:rPr>
              <w:t>内蒙古奥晶半导体科技有限公司</w:t>
            </w:r>
          </w:p>
        </w:tc>
        <w:tc>
          <w:tcPr>
            <w:tcW w:w="1388" w:type="pct"/>
            <w:vAlign w:val="center"/>
          </w:tcPr>
          <w:p w14:paraId="4409B736">
            <w:pPr>
              <w:spacing w:line="240" w:lineRule="auto"/>
              <w:ind w:firstLine="0" w:firstLineChars="0"/>
              <w:rPr>
                <w:sz w:val="21"/>
                <w:szCs w:val="21"/>
              </w:rPr>
            </w:pPr>
            <w:r>
              <w:rPr>
                <w:sz w:val="21"/>
                <w:szCs w:val="21"/>
              </w:rPr>
              <w:t>年产1000t 3-6英寸半导体级单晶硅棒和500万片单晶硅切片</w:t>
            </w:r>
          </w:p>
        </w:tc>
        <w:tc>
          <w:tcPr>
            <w:tcW w:w="1388" w:type="pct"/>
            <w:vAlign w:val="center"/>
          </w:tcPr>
          <w:p w14:paraId="53F2682F">
            <w:pPr>
              <w:spacing w:line="240" w:lineRule="auto"/>
              <w:ind w:firstLine="0" w:firstLineChars="0"/>
              <w:rPr>
                <w:sz w:val="21"/>
                <w:szCs w:val="21"/>
              </w:rPr>
            </w:pPr>
            <w:r>
              <w:rPr>
                <w:sz w:val="21"/>
                <w:szCs w:val="21"/>
              </w:rPr>
              <w:t>单晶车间、机加工、单晶评价、切片</w:t>
            </w:r>
          </w:p>
        </w:tc>
        <w:tc>
          <w:tcPr>
            <w:tcW w:w="720" w:type="pct"/>
            <w:vAlign w:val="center"/>
          </w:tcPr>
          <w:p w14:paraId="247758BB">
            <w:pPr>
              <w:spacing w:line="240" w:lineRule="auto"/>
              <w:ind w:firstLine="0" w:firstLineChars="0"/>
              <w:rPr>
                <w:sz w:val="21"/>
                <w:szCs w:val="21"/>
              </w:rPr>
            </w:pPr>
            <w:r>
              <w:rPr>
                <w:sz w:val="21"/>
                <w:szCs w:val="21"/>
              </w:rPr>
              <w:t>电子元件及电子专用材料制造</w:t>
            </w:r>
          </w:p>
        </w:tc>
      </w:tr>
      <w:tr w14:paraId="105F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1C0A411">
            <w:pPr>
              <w:spacing w:line="240" w:lineRule="auto"/>
              <w:ind w:firstLine="0" w:firstLineChars="0"/>
              <w:rPr>
                <w:sz w:val="21"/>
                <w:szCs w:val="21"/>
              </w:rPr>
            </w:pPr>
            <w:r>
              <w:rPr>
                <w:sz w:val="21"/>
                <w:szCs w:val="21"/>
              </w:rPr>
              <w:t>75</w:t>
            </w:r>
          </w:p>
        </w:tc>
        <w:tc>
          <w:tcPr>
            <w:tcW w:w="856" w:type="pct"/>
            <w:vAlign w:val="center"/>
          </w:tcPr>
          <w:p w14:paraId="7B1C81B7">
            <w:pPr>
              <w:spacing w:line="240" w:lineRule="auto"/>
              <w:ind w:firstLine="0" w:firstLineChars="0"/>
              <w:rPr>
                <w:sz w:val="21"/>
                <w:szCs w:val="21"/>
              </w:rPr>
            </w:pPr>
            <w:r>
              <w:rPr>
                <w:sz w:val="21"/>
                <w:szCs w:val="21"/>
              </w:rPr>
              <w:t>包头市比亚迪矿用车有限公司</w:t>
            </w:r>
          </w:p>
        </w:tc>
        <w:tc>
          <w:tcPr>
            <w:tcW w:w="1388" w:type="pct"/>
            <w:vAlign w:val="center"/>
          </w:tcPr>
          <w:p w14:paraId="605EEA52">
            <w:pPr>
              <w:spacing w:line="240" w:lineRule="auto"/>
              <w:ind w:firstLine="0" w:firstLineChars="0"/>
              <w:rPr>
                <w:sz w:val="21"/>
                <w:szCs w:val="21"/>
              </w:rPr>
            </w:pPr>
            <w:r>
              <w:rPr>
                <w:sz w:val="21"/>
                <w:szCs w:val="21"/>
              </w:rPr>
              <w:t>新能源汽车动力电池超薄铜箔，年产锂电铜箔生产规模为25000吨</w:t>
            </w:r>
          </w:p>
        </w:tc>
        <w:tc>
          <w:tcPr>
            <w:tcW w:w="1388" w:type="pct"/>
            <w:vAlign w:val="center"/>
          </w:tcPr>
          <w:p w14:paraId="31CEA92E">
            <w:pPr>
              <w:spacing w:line="240" w:lineRule="auto"/>
              <w:ind w:firstLine="0" w:firstLineChars="0"/>
              <w:rPr>
                <w:sz w:val="21"/>
                <w:szCs w:val="21"/>
              </w:rPr>
            </w:pPr>
            <w:r>
              <w:rPr>
                <w:sz w:val="21"/>
                <w:szCs w:val="21"/>
              </w:rPr>
              <w:t>铜杆连铸、溶铜工艺、生箔工艺、防氧化处理、收卷、分切、检验包装</w:t>
            </w:r>
          </w:p>
        </w:tc>
        <w:tc>
          <w:tcPr>
            <w:tcW w:w="720" w:type="pct"/>
            <w:vAlign w:val="center"/>
          </w:tcPr>
          <w:p w14:paraId="2CAB0C7A">
            <w:pPr>
              <w:spacing w:line="240" w:lineRule="auto"/>
              <w:ind w:firstLine="0" w:firstLineChars="0"/>
              <w:rPr>
                <w:sz w:val="21"/>
                <w:szCs w:val="21"/>
              </w:rPr>
            </w:pPr>
            <w:r>
              <w:rPr>
                <w:sz w:val="21"/>
                <w:szCs w:val="21"/>
              </w:rPr>
              <w:t>金属制品业</w:t>
            </w:r>
          </w:p>
        </w:tc>
      </w:tr>
      <w:tr w14:paraId="46AD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553D2AC">
            <w:pPr>
              <w:spacing w:line="240" w:lineRule="auto"/>
              <w:ind w:firstLine="0" w:firstLineChars="0"/>
              <w:rPr>
                <w:sz w:val="21"/>
                <w:szCs w:val="21"/>
              </w:rPr>
            </w:pPr>
            <w:r>
              <w:rPr>
                <w:sz w:val="21"/>
                <w:szCs w:val="21"/>
              </w:rPr>
              <w:t>76</w:t>
            </w:r>
          </w:p>
        </w:tc>
        <w:tc>
          <w:tcPr>
            <w:tcW w:w="856" w:type="pct"/>
            <w:vAlign w:val="center"/>
          </w:tcPr>
          <w:p w14:paraId="02E8C4D2">
            <w:pPr>
              <w:spacing w:line="240" w:lineRule="auto"/>
              <w:ind w:firstLine="0" w:firstLineChars="0"/>
              <w:rPr>
                <w:sz w:val="21"/>
                <w:szCs w:val="21"/>
              </w:rPr>
            </w:pPr>
            <w:r>
              <w:rPr>
                <w:sz w:val="21"/>
                <w:szCs w:val="21"/>
              </w:rPr>
              <w:t>晶通新材料科技(包头)有限公司</w:t>
            </w:r>
          </w:p>
        </w:tc>
        <w:tc>
          <w:tcPr>
            <w:tcW w:w="1388" w:type="pct"/>
            <w:vAlign w:val="center"/>
          </w:tcPr>
          <w:p w14:paraId="7477A0ED">
            <w:pPr>
              <w:spacing w:line="240" w:lineRule="auto"/>
              <w:ind w:firstLine="0" w:firstLineChars="0"/>
              <w:rPr>
                <w:sz w:val="21"/>
                <w:szCs w:val="21"/>
              </w:rPr>
            </w:pPr>
            <w:r>
              <w:rPr>
                <w:sz w:val="21"/>
                <w:szCs w:val="21"/>
              </w:rPr>
              <w:t>年产1500万个光伏硅材料包装</w:t>
            </w:r>
          </w:p>
        </w:tc>
        <w:tc>
          <w:tcPr>
            <w:tcW w:w="1388" w:type="pct"/>
            <w:vAlign w:val="center"/>
          </w:tcPr>
          <w:p w14:paraId="63825975">
            <w:pPr>
              <w:spacing w:line="240" w:lineRule="auto"/>
              <w:ind w:firstLine="0" w:firstLineChars="0"/>
              <w:rPr>
                <w:sz w:val="21"/>
                <w:szCs w:val="21"/>
              </w:rPr>
            </w:pPr>
          </w:p>
        </w:tc>
        <w:tc>
          <w:tcPr>
            <w:tcW w:w="720" w:type="pct"/>
            <w:vAlign w:val="center"/>
          </w:tcPr>
          <w:p w14:paraId="2B75D2B9">
            <w:pPr>
              <w:spacing w:line="240" w:lineRule="auto"/>
              <w:ind w:firstLine="0" w:firstLineChars="0"/>
              <w:rPr>
                <w:sz w:val="21"/>
                <w:szCs w:val="21"/>
              </w:rPr>
            </w:pPr>
            <w:r>
              <w:rPr>
                <w:sz w:val="21"/>
                <w:szCs w:val="21"/>
              </w:rPr>
              <w:t>橡胶和塑料制品业</w:t>
            </w:r>
          </w:p>
        </w:tc>
      </w:tr>
      <w:tr w14:paraId="0953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FA7358B">
            <w:pPr>
              <w:spacing w:line="240" w:lineRule="auto"/>
              <w:ind w:firstLine="0" w:firstLineChars="0"/>
              <w:rPr>
                <w:sz w:val="21"/>
                <w:szCs w:val="21"/>
              </w:rPr>
            </w:pPr>
            <w:r>
              <w:rPr>
                <w:sz w:val="21"/>
                <w:szCs w:val="21"/>
              </w:rPr>
              <w:t>77</w:t>
            </w:r>
          </w:p>
        </w:tc>
        <w:tc>
          <w:tcPr>
            <w:tcW w:w="856" w:type="pct"/>
            <w:vAlign w:val="center"/>
          </w:tcPr>
          <w:p w14:paraId="4A848E96">
            <w:pPr>
              <w:spacing w:line="240" w:lineRule="auto"/>
              <w:ind w:firstLine="0" w:firstLineChars="0"/>
              <w:rPr>
                <w:sz w:val="21"/>
                <w:szCs w:val="21"/>
              </w:rPr>
            </w:pPr>
            <w:r>
              <w:rPr>
                <w:sz w:val="21"/>
                <w:szCs w:val="21"/>
              </w:rPr>
              <w:t>内蒙古国贸硅业有限公司</w:t>
            </w:r>
          </w:p>
        </w:tc>
        <w:tc>
          <w:tcPr>
            <w:tcW w:w="1388" w:type="pct"/>
            <w:vAlign w:val="center"/>
          </w:tcPr>
          <w:p w14:paraId="7BF7CC12">
            <w:pPr>
              <w:spacing w:line="240" w:lineRule="auto"/>
              <w:ind w:firstLine="0" w:firstLineChars="0"/>
              <w:rPr>
                <w:sz w:val="21"/>
                <w:szCs w:val="21"/>
              </w:rPr>
            </w:pPr>
            <w:r>
              <w:rPr>
                <w:sz w:val="21"/>
                <w:szCs w:val="21"/>
              </w:rPr>
              <w:t>年产12万吨金属硅粉</w:t>
            </w:r>
          </w:p>
        </w:tc>
        <w:tc>
          <w:tcPr>
            <w:tcW w:w="1388" w:type="pct"/>
            <w:vAlign w:val="center"/>
          </w:tcPr>
          <w:p w14:paraId="5CDE8708">
            <w:pPr>
              <w:spacing w:line="240" w:lineRule="auto"/>
              <w:ind w:firstLine="0" w:firstLineChars="0"/>
              <w:rPr>
                <w:sz w:val="21"/>
                <w:szCs w:val="21"/>
              </w:rPr>
            </w:pPr>
            <w:r>
              <w:rPr>
                <w:sz w:val="21"/>
                <w:szCs w:val="21"/>
              </w:rPr>
              <w:t>破碎、筛分</w:t>
            </w:r>
          </w:p>
        </w:tc>
        <w:tc>
          <w:tcPr>
            <w:tcW w:w="720" w:type="pct"/>
            <w:vAlign w:val="center"/>
          </w:tcPr>
          <w:p w14:paraId="4280999C">
            <w:pPr>
              <w:spacing w:line="240" w:lineRule="auto"/>
              <w:ind w:firstLine="0" w:firstLineChars="0"/>
              <w:rPr>
                <w:sz w:val="21"/>
                <w:szCs w:val="21"/>
              </w:rPr>
            </w:pPr>
            <w:r>
              <w:rPr>
                <w:sz w:val="21"/>
                <w:szCs w:val="21"/>
              </w:rPr>
              <w:t>非金属矿物制品制造业</w:t>
            </w:r>
          </w:p>
        </w:tc>
      </w:tr>
      <w:tr w14:paraId="2BDC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AD96039">
            <w:pPr>
              <w:spacing w:line="240" w:lineRule="auto"/>
              <w:ind w:firstLine="0" w:firstLineChars="0"/>
              <w:rPr>
                <w:sz w:val="21"/>
                <w:szCs w:val="21"/>
              </w:rPr>
            </w:pPr>
            <w:r>
              <w:rPr>
                <w:sz w:val="21"/>
                <w:szCs w:val="21"/>
              </w:rPr>
              <w:t>78</w:t>
            </w:r>
          </w:p>
        </w:tc>
        <w:tc>
          <w:tcPr>
            <w:tcW w:w="856" w:type="pct"/>
            <w:vAlign w:val="center"/>
          </w:tcPr>
          <w:p w14:paraId="3FF11857">
            <w:pPr>
              <w:spacing w:line="240" w:lineRule="auto"/>
              <w:ind w:firstLine="0" w:firstLineChars="0"/>
              <w:rPr>
                <w:sz w:val="21"/>
                <w:szCs w:val="21"/>
              </w:rPr>
            </w:pPr>
            <w:r>
              <w:rPr>
                <w:sz w:val="21"/>
                <w:szCs w:val="21"/>
              </w:rPr>
              <w:t>内蒙古新达磁性新材料有限公司</w:t>
            </w:r>
          </w:p>
        </w:tc>
        <w:tc>
          <w:tcPr>
            <w:tcW w:w="1388" w:type="pct"/>
            <w:vAlign w:val="center"/>
          </w:tcPr>
          <w:p w14:paraId="3D1C4FC8">
            <w:pPr>
              <w:spacing w:line="240" w:lineRule="auto"/>
              <w:ind w:firstLine="0" w:firstLineChars="0"/>
              <w:rPr>
                <w:sz w:val="21"/>
                <w:szCs w:val="21"/>
              </w:rPr>
            </w:pPr>
            <w:r>
              <w:rPr>
                <w:sz w:val="21"/>
                <w:szCs w:val="21"/>
              </w:rPr>
              <w:t>2000吨磁性材料电子元器件</w:t>
            </w:r>
          </w:p>
        </w:tc>
        <w:tc>
          <w:tcPr>
            <w:tcW w:w="1388" w:type="pct"/>
            <w:vAlign w:val="center"/>
          </w:tcPr>
          <w:p w14:paraId="66F818FF">
            <w:pPr>
              <w:spacing w:line="240" w:lineRule="auto"/>
              <w:ind w:firstLine="0" w:firstLineChars="0"/>
              <w:rPr>
                <w:sz w:val="21"/>
                <w:szCs w:val="21"/>
              </w:rPr>
            </w:pPr>
            <w:r>
              <w:rPr>
                <w:sz w:val="21"/>
                <w:szCs w:val="21"/>
              </w:rPr>
              <w:t>气流磨制粉、成型、烧结、机械加工等</w:t>
            </w:r>
          </w:p>
        </w:tc>
        <w:tc>
          <w:tcPr>
            <w:tcW w:w="720" w:type="pct"/>
            <w:vAlign w:val="center"/>
          </w:tcPr>
          <w:p w14:paraId="249945D4">
            <w:pPr>
              <w:spacing w:line="240" w:lineRule="auto"/>
              <w:ind w:firstLine="0" w:firstLineChars="0"/>
              <w:rPr>
                <w:sz w:val="21"/>
                <w:szCs w:val="21"/>
              </w:rPr>
            </w:pPr>
            <w:r>
              <w:rPr>
                <w:sz w:val="21"/>
                <w:szCs w:val="21"/>
              </w:rPr>
              <w:t>电子元件及电子专用材料制造</w:t>
            </w:r>
          </w:p>
        </w:tc>
      </w:tr>
      <w:tr w14:paraId="1288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0C661C6">
            <w:pPr>
              <w:spacing w:line="240" w:lineRule="auto"/>
              <w:ind w:firstLine="0" w:firstLineChars="0"/>
              <w:rPr>
                <w:sz w:val="21"/>
                <w:szCs w:val="21"/>
              </w:rPr>
            </w:pPr>
            <w:r>
              <w:rPr>
                <w:sz w:val="21"/>
                <w:szCs w:val="21"/>
              </w:rPr>
              <w:t>79</w:t>
            </w:r>
          </w:p>
        </w:tc>
        <w:tc>
          <w:tcPr>
            <w:tcW w:w="856" w:type="pct"/>
            <w:vAlign w:val="center"/>
          </w:tcPr>
          <w:p w14:paraId="0671E8D6">
            <w:pPr>
              <w:spacing w:line="240" w:lineRule="auto"/>
              <w:ind w:firstLine="0" w:firstLineChars="0"/>
              <w:rPr>
                <w:sz w:val="21"/>
                <w:szCs w:val="21"/>
              </w:rPr>
            </w:pPr>
            <w:r>
              <w:rPr>
                <w:sz w:val="21"/>
                <w:szCs w:val="21"/>
              </w:rPr>
              <w:t>包头交通投资集团物资有限责任公司</w:t>
            </w:r>
          </w:p>
        </w:tc>
        <w:tc>
          <w:tcPr>
            <w:tcW w:w="1388" w:type="pct"/>
            <w:vAlign w:val="center"/>
          </w:tcPr>
          <w:p w14:paraId="549527B9">
            <w:pPr>
              <w:spacing w:line="240" w:lineRule="auto"/>
              <w:ind w:firstLine="0" w:firstLineChars="0"/>
              <w:rPr>
                <w:sz w:val="21"/>
                <w:szCs w:val="21"/>
              </w:rPr>
            </w:pPr>
            <w:r>
              <w:rPr>
                <w:sz w:val="21"/>
                <w:szCs w:val="21"/>
              </w:rPr>
              <w:t>新型绿色环保筑路材料研发生产基地建设项目</w:t>
            </w:r>
          </w:p>
        </w:tc>
        <w:tc>
          <w:tcPr>
            <w:tcW w:w="1388" w:type="pct"/>
            <w:vAlign w:val="center"/>
          </w:tcPr>
          <w:p w14:paraId="4B45A766">
            <w:pPr>
              <w:spacing w:line="240" w:lineRule="auto"/>
              <w:ind w:firstLine="0" w:firstLineChars="0"/>
              <w:rPr>
                <w:sz w:val="21"/>
                <w:szCs w:val="21"/>
              </w:rPr>
            </w:pPr>
            <w:r>
              <w:rPr>
                <w:sz w:val="21"/>
                <w:szCs w:val="21"/>
              </w:rPr>
              <w:t>原料预处理、输送、计量、搅拌后即为成品。</w:t>
            </w:r>
          </w:p>
        </w:tc>
        <w:tc>
          <w:tcPr>
            <w:tcW w:w="720" w:type="pct"/>
            <w:vAlign w:val="center"/>
          </w:tcPr>
          <w:p w14:paraId="32A76D7E">
            <w:pPr>
              <w:spacing w:line="240" w:lineRule="auto"/>
              <w:ind w:firstLine="0" w:firstLineChars="0"/>
              <w:rPr>
                <w:sz w:val="21"/>
                <w:szCs w:val="21"/>
              </w:rPr>
            </w:pPr>
            <w:r>
              <w:rPr>
                <w:sz w:val="21"/>
                <w:szCs w:val="21"/>
              </w:rPr>
              <w:t>生态保护和环境治理业</w:t>
            </w:r>
          </w:p>
        </w:tc>
      </w:tr>
      <w:tr w14:paraId="4507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5773911">
            <w:pPr>
              <w:spacing w:line="240" w:lineRule="auto"/>
              <w:ind w:firstLine="0" w:firstLineChars="0"/>
              <w:rPr>
                <w:sz w:val="21"/>
                <w:szCs w:val="21"/>
              </w:rPr>
            </w:pPr>
            <w:r>
              <w:rPr>
                <w:sz w:val="21"/>
                <w:szCs w:val="21"/>
              </w:rPr>
              <w:t>80</w:t>
            </w:r>
          </w:p>
        </w:tc>
        <w:tc>
          <w:tcPr>
            <w:tcW w:w="856" w:type="pct"/>
            <w:vAlign w:val="center"/>
          </w:tcPr>
          <w:p w14:paraId="159F3EF4">
            <w:pPr>
              <w:spacing w:line="240" w:lineRule="auto"/>
              <w:ind w:firstLine="0" w:firstLineChars="0"/>
              <w:rPr>
                <w:sz w:val="21"/>
                <w:szCs w:val="21"/>
              </w:rPr>
            </w:pPr>
            <w:r>
              <w:rPr>
                <w:sz w:val="21"/>
                <w:szCs w:val="21"/>
              </w:rPr>
              <w:t>包头双马动力科技有限公司</w:t>
            </w:r>
          </w:p>
        </w:tc>
        <w:tc>
          <w:tcPr>
            <w:tcW w:w="1388" w:type="pct"/>
            <w:vAlign w:val="center"/>
          </w:tcPr>
          <w:p w14:paraId="10BEC581">
            <w:pPr>
              <w:spacing w:line="240" w:lineRule="auto"/>
              <w:ind w:firstLine="0" w:firstLineChars="0"/>
              <w:rPr>
                <w:sz w:val="21"/>
                <w:szCs w:val="21"/>
              </w:rPr>
            </w:pPr>
            <w:r>
              <w:rPr>
                <w:sz w:val="21"/>
                <w:szCs w:val="21"/>
              </w:rPr>
              <w:t>年规模化生产50KW和300KW微型涡轮能源动力机20000台</w:t>
            </w:r>
          </w:p>
        </w:tc>
        <w:tc>
          <w:tcPr>
            <w:tcW w:w="1388" w:type="pct"/>
            <w:vAlign w:val="center"/>
          </w:tcPr>
          <w:p w14:paraId="75FC5F6E">
            <w:pPr>
              <w:spacing w:line="240" w:lineRule="auto"/>
              <w:ind w:firstLine="0" w:firstLineChars="0"/>
              <w:rPr>
                <w:sz w:val="21"/>
                <w:szCs w:val="21"/>
              </w:rPr>
            </w:pPr>
          </w:p>
        </w:tc>
        <w:tc>
          <w:tcPr>
            <w:tcW w:w="720" w:type="pct"/>
            <w:vAlign w:val="center"/>
          </w:tcPr>
          <w:p w14:paraId="5E4D601E">
            <w:pPr>
              <w:spacing w:line="240" w:lineRule="auto"/>
              <w:ind w:firstLine="0" w:firstLineChars="0"/>
              <w:rPr>
                <w:sz w:val="21"/>
                <w:szCs w:val="21"/>
              </w:rPr>
            </w:pPr>
            <w:r>
              <w:rPr>
                <w:sz w:val="21"/>
                <w:szCs w:val="21"/>
              </w:rPr>
              <w:t>电气机械和器材制造业</w:t>
            </w:r>
          </w:p>
        </w:tc>
      </w:tr>
      <w:tr w14:paraId="4C62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4C4A048">
            <w:pPr>
              <w:spacing w:line="240" w:lineRule="auto"/>
              <w:ind w:firstLine="0" w:firstLineChars="0"/>
              <w:rPr>
                <w:sz w:val="21"/>
                <w:szCs w:val="21"/>
              </w:rPr>
            </w:pPr>
            <w:r>
              <w:rPr>
                <w:sz w:val="21"/>
                <w:szCs w:val="21"/>
              </w:rPr>
              <w:t>81</w:t>
            </w:r>
          </w:p>
        </w:tc>
        <w:tc>
          <w:tcPr>
            <w:tcW w:w="856" w:type="pct"/>
            <w:vAlign w:val="center"/>
          </w:tcPr>
          <w:p w14:paraId="004FFB06">
            <w:pPr>
              <w:spacing w:line="240" w:lineRule="auto"/>
              <w:ind w:firstLine="0" w:firstLineChars="0"/>
              <w:rPr>
                <w:sz w:val="21"/>
                <w:szCs w:val="21"/>
              </w:rPr>
            </w:pPr>
            <w:r>
              <w:rPr>
                <w:sz w:val="21"/>
                <w:szCs w:val="21"/>
              </w:rPr>
              <w:t>内蒙古鸿聚鑫报废汽车回收拆解有限公司</w:t>
            </w:r>
          </w:p>
        </w:tc>
        <w:tc>
          <w:tcPr>
            <w:tcW w:w="1388" w:type="pct"/>
            <w:vAlign w:val="center"/>
          </w:tcPr>
          <w:p w14:paraId="04C4FC2D">
            <w:pPr>
              <w:spacing w:line="240" w:lineRule="auto"/>
              <w:ind w:firstLine="0" w:firstLineChars="0"/>
              <w:rPr>
                <w:sz w:val="21"/>
                <w:szCs w:val="21"/>
              </w:rPr>
            </w:pPr>
            <w:r>
              <w:rPr>
                <w:sz w:val="21"/>
                <w:szCs w:val="21"/>
              </w:rPr>
              <w:t>年拆解报废汽车 10000 辆（含新能源汽车）</w:t>
            </w:r>
          </w:p>
        </w:tc>
        <w:tc>
          <w:tcPr>
            <w:tcW w:w="1388" w:type="pct"/>
            <w:vAlign w:val="center"/>
          </w:tcPr>
          <w:p w14:paraId="5223435A">
            <w:pPr>
              <w:spacing w:line="240" w:lineRule="auto"/>
              <w:ind w:firstLine="0" w:firstLineChars="0"/>
              <w:rPr>
                <w:sz w:val="21"/>
                <w:szCs w:val="21"/>
              </w:rPr>
            </w:pPr>
          </w:p>
        </w:tc>
        <w:tc>
          <w:tcPr>
            <w:tcW w:w="720" w:type="pct"/>
            <w:vAlign w:val="center"/>
          </w:tcPr>
          <w:p w14:paraId="31FFD6DD">
            <w:pPr>
              <w:spacing w:line="240" w:lineRule="auto"/>
              <w:ind w:firstLine="0" w:firstLineChars="0"/>
              <w:rPr>
                <w:sz w:val="21"/>
                <w:szCs w:val="21"/>
              </w:rPr>
            </w:pPr>
            <w:r>
              <w:rPr>
                <w:sz w:val="21"/>
                <w:szCs w:val="21"/>
              </w:rPr>
              <w:t>废弃资源综合利用业</w:t>
            </w:r>
          </w:p>
        </w:tc>
      </w:tr>
      <w:tr w14:paraId="4D80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43F965D">
            <w:pPr>
              <w:spacing w:line="240" w:lineRule="auto"/>
              <w:ind w:firstLine="0" w:firstLineChars="0"/>
              <w:rPr>
                <w:sz w:val="21"/>
                <w:szCs w:val="21"/>
              </w:rPr>
            </w:pPr>
            <w:r>
              <w:rPr>
                <w:sz w:val="21"/>
                <w:szCs w:val="21"/>
              </w:rPr>
              <w:t>82</w:t>
            </w:r>
          </w:p>
        </w:tc>
        <w:tc>
          <w:tcPr>
            <w:tcW w:w="856" w:type="pct"/>
            <w:vAlign w:val="center"/>
          </w:tcPr>
          <w:p w14:paraId="69236852">
            <w:pPr>
              <w:spacing w:line="240" w:lineRule="auto"/>
              <w:ind w:firstLine="0" w:firstLineChars="0"/>
              <w:rPr>
                <w:sz w:val="21"/>
                <w:szCs w:val="21"/>
              </w:rPr>
            </w:pPr>
            <w:r>
              <w:rPr>
                <w:sz w:val="21"/>
                <w:szCs w:val="21"/>
              </w:rPr>
              <w:t>丰达轨道交通装备（内蒙古）有限公司</w:t>
            </w:r>
          </w:p>
        </w:tc>
        <w:tc>
          <w:tcPr>
            <w:tcW w:w="1388" w:type="pct"/>
            <w:vAlign w:val="center"/>
          </w:tcPr>
          <w:p w14:paraId="241EF03A">
            <w:pPr>
              <w:spacing w:line="240" w:lineRule="auto"/>
              <w:ind w:firstLine="0" w:firstLineChars="0"/>
              <w:rPr>
                <w:sz w:val="21"/>
                <w:szCs w:val="21"/>
              </w:rPr>
            </w:pPr>
            <w:r>
              <w:rPr>
                <w:sz w:val="21"/>
                <w:szCs w:val="21"/>
              </w:rPr>
              <w:t>年产4万根车轴</w:t>
            </w:r>
          </w:p>
        </w:tc>
        <w:tc>
          <w:tcPr>
            <w:tcW w:w="1388" w:type="pct"/>
            <w:vAlign w:val="center"/>
          </w:tcPr>
          <w:p w14:paraId="302B4E53">
            <w:pPr>
              <w:spacing w:line="240" w:lineRule="auto"/>
              <w:ind w:firstLine="0" w:firstLineChars="0"/>
              <w:rPr>
                <w:sz w:val="21"/>
                <w:szCs w:val="21"/>
              </w:rPr>
            </w:pPr>
            <w:r>
              <w:rPr>
                <w:sz w:val="21"/>
                <w:szCs w:val="21"/>
              </w:rPr>
              <w:t>1座热加工车间、1座机加车间，车间内设1条年产4万根车轴生产线，生产装置包括带锯床、加热炉、热处理炉等</w:t>
            </w:r>
          </w:p>
        </w:tc>
        <w:tc>
          <w:tcPr>
            <w:tcW w:w="720" w:type="pct"/>
            <w:vAlign w:val="center"/>
          </w:tcPr>
          <w:p w14:paraId="721FEB4A">
            <w:pPr>
              <w:spacing w:line="240" w:lineRule="auto"/>
              <w:ind w:firstLine="0" w:firstLineChars="0"/>
              <w:rPr>
                <w:sz w:val="21"/>
                <w:szCs w:val="21"/>
              </w:rPr>
            </w:pPr>
            <w:r>
              <w:rPr>
                <w:sz w:val="21"/>
                <w:szCs w:val="21"/>
              </w:rPr>
              <w:t>汽车制造业</w:t>
            </w:r>
          </w:p>
        </w:tc>
      </w:tr>
      <w:tr w14:paraId="3A96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DFFEDE3">
            <w:pPr>
              <w:spacing w:line="240" w:lineRule="auto"/>
              <w:ind w:firstLine="0" w:firstLineChars="0"/>
              <w:rPr>
                <w:sz w:val="21"/>
                <w:szCs w:val="21"/>
              </w:rPr>
            </w:pPr>
            <w:r>
              <w:rPr>
                <w:sz w:val="21"/>
                <w:szCs w:val="21"/>
              </w:rPr>
              <w:t>83</w:t>
            </w:r>
          </w:p>
        </w:tc>
        <w:tc>
          <w:tcPr>
            <w:tcW w:w="856" w:type="pct"/>
            <w:vAlign w:val="center"/>
          </w:tcPr>
          <w:p w14:paraId="46FEF065">
            <w:pPr>
              <w:spacing w:line="240" w:lineRule="auto"/>
              <w:ind w:firstLine="0" w:firstLineChars="0"/>
              <w:rPr>
                <w:sz w:val="21"/>
                <w:szCs w:val="21"/>
              </w:rPr>
            </w:pPr>
            <w:r>
              <w:rPr>
                <w:sz w:val="21"/>
                <w:szCs w:val="21"/>
              </w:rPr>
              <w:t>包头宏运兴钢结构工程有限责任公司</w:t>
            </w:r>
          </w:p>
        </w:tc>
        <w:tc>
          <w:tcPr>
            <w:tcW w:w="1388" w:type="pct"/>
            <w:vAlign w:val="center"/>
          </w:tcPr>
          <w:p w14:paraId="2700B3CC">
            <w:pPr>
              <w:spacing w:line="240" w:lineRule="auto"/>
              <w:ind w:firstLine="0" w:firstLineChars="0"/>
              <w:rPr>
                <w:sz w:val="21"/>
                <w:szCs w:val="21"/>
              </w:rPr>
            </w:pPr>
            <w:r>
              <w:rPr>
                <w:sz w:val="21"/>
                <w:szCs w:val="21"/>
              </w:rPr>
              <w:t>年生产60吨钢结构</w:t>
            </w:r>
          </w:p>
        </w:tc>
        <w:tc>
          <w:tcPr>
            <w:tcW w:w="1388" w:type="pct"/>
            <w:vAlign w:val="center"/>
          </w:tcPr>
          <w:p w14:paraId="0775F1A3">
            <w:pPr>
              <w:spacing w:line="240" w:lineRule="auto"/>
              <w:ind w:firstLine="0" w:firstLineChars="0"/>
              <w:rPr>
                <w:sz w:val="21"/>
                <w:szCs w:val="21"/>
              </w:rPr>
            </w:pPr>
            <w:r>
              <w:rPr>
                <w:sz w:val="21"/>
                <w:szCs w:val="21"/>
              </w:rPr>
              <w:t>钢钩件切割、加工、喷漆</w:t>
            </w:r>
          </w:p>
        </w:tc>
        <w:tc>
          <w:tcPr>
            <w:tcW w:w="720" w:type="pct"/>
            <w:vAlign w:val="center"/>
          </w:tcPr>
          <w:p w14:paraId="63BBAB74">
            <w:pPr>
              <w:spacing w:line="240" w:lineRule="auto"/>
              <w:ind w:firstLine="0" w:firstLineChars="0"/>
              <w:rPr>
                <w:sz w:val="21"/>
                <w:szCs w:val="21"/>
              </w:rPr>
            </w:pPr>
            <w:r>
              <w:rPr>
                <w:sz w:val="21"/>
                <w:szCs w:val="21"/>
              </w:rPr>
              <w:t>金属制品业</w:t>
            </w:r>
          </w:p>
        </w:tc>
      </w:tr>
      <w:tr w14:paraId="6A7B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F7D4A92">
            <w:pPr>
              <w:spacing w:line="240" w:lineRule="auto"/>
              <w:ind w:firstLine="0" w:firstLineChars="0"/>
              <w:rPr>
                <w:sz w:val="21"/>
                <w:szCs w:val="21"/>
              </w:rPr>
            </w:pPr>
            <w:r>
              <w:rPr>
                <w:sz w:val="21"/>
                <w:szCs w:val="21"/>
              </w:rPr>
              <w:t>84</w:t>
            </w:r>
          </w:p>
        </w:tc>
        <w:tc>
          <w:tcPr>
            <w:tcW w:w="856" w:type="pct"/>
            <w:vAlign w:val="center"/>
          </w:tcPr>
          <w:p w14:paraId="561404E0">
            <w:pPr>
              <w:spacing w:line="240" w:lineRule="auto"/>
              <w:ind w:firstLine="0" w:firstLineChars="0"/>
              <w:rPr>
                <w:sz w:val="21"/>
                <w:szCs w:val="21"/>
              </w:rPr>
            </w:pPr>
            <w:r>
              <w:rPr>
                <w:sz w:val="21"/>
                <w:szCs w:val="21"/>
              </w:rPr>
              <w:t>内蒙古晶阳科技有限公司</w:t>
            </w:r>
          </w:p>
        </w:tc>
        <w:tc>
          <w:tcPr>
            <w:tcW w:w="1388" w:type="pct"/>
            <w:vAlign w:val="center"/>
          </w:tcPr>
          <w:p w14:paraId="5E3F4E95">
            <w:pPr>
              <w:spacing w:line="240" w:lineRule="auto"/>
              <w:ind w:firstLine="0" w:firstLineChars="0"/>
              <w:rPr>
                <w:sz w:val="21"/>
                <w:szCs w:val="21"/>
              </w:rPr>
            </w:pPr>
            <w:r>
              <w:rPr>
                <w:sz w:val="21"/>
                <w:szCs w:val="21"/>
              </w:rPr>
              <w:t>年产坩埚用高纯石英砂12万吨</w:t>
            </w:r>
          </w:p>
        </w:tc>
        <w:tc>
          <w:tcPr>
            <w:tcW w:w="1388" w:type="pct"/>
            <w:vAlign w:val="center"/>
          </w:tcPr>
          <w:p w14:paraId="6F836FA0">
            <w:pPr>
              <w:spacing w:line="240" w:lineRule="auto"/>
              <w:ind w:firstLine="0" w:firstLineChars="0"/>
              <w:rPr>
                <w:sz w:val="21"/>
                <w:szCs w:val="21"/>
              </w:rPr>
            </w:pPr>
            <w:r>
              <w:rPr>
                <w:sz w:val="21"/>
                <w:szCs w:val="21"/>
              </w:rPr>
              <w:t>粗砂的制备</w:t>
            </w:r>
          </w:p>
        </w:tc>
        <w:tc>
          <w:tcPr>
            <w:tcW w:w="720" w:type="pct"/>
            <w:vAlign w:val="center"/>
          </w:tcPr>
          <w:p w14:paraId="54832A67">
            <w:pPr>
              <w:spacing w:line="240" w:lineRule="auto"/>
              <w:ind w:firstLine="0" w:firstLineChars="0"/>
              <w:rPr>
                <w:sz w:val="21"/>
                <w:szCs w:val="21"/>
              </w:rPr>
            </w:pPr>
            <w:r>
              <w:rPr>
                <w:sz w:val="21"/>
                <w:szCs w:val="21"/>
              </w:rPr>
              <w:t>非金属矿物制品制造业</w:t>
            </w:r>
          </w:p>
        </w:tc>
      </w:tr>
      <w:tr w14:paraId="27CC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24564AF">
            <w:pPr>
              <w:spacing w:line="240" w:lineRule="auto"/>
              <w:ind w:firstLine="0" w:firstLineChars="0"/>
              <w:rPr>
                <w:sz w:val="21"/>
                <w:szCs w:val="21"/>
              </w:rPr>
            </w:pPr>
            <w:r>
              <w:rPr>
                <w:sz w:val="21"/>
                <w:szCs w:val="21"/>
              </w:rPr>
              <w:t>85</w:t>
            </w:r>
          </w:p>
        </w:tc>
        <w:tc>
          <w:tcPr>
            <w:tcW w:w="856" w:type="pct"/>
            <w:vAlign w:val="center"/>
          </w:tcPr>
          <w:p w14:paraId="7170077A">
            <w:pPr>
              <w:spacing w:line="240" w:lineRule="auto"/>
              <w:ind w:firstLine="0" w:firstLineChars="0"/>
              <w:rPr>
                <w:sz w:val="21"/>
                <w:szCs w:val="21"/>
              </w:rPr>
            </w:pPr>
            <w:r>
              <w:rPr>
                <w:sz w:val="21"/>
                <w:szCs w:val="21"/>
              </w:rPr>
              <w:t>内蒙古埃希玛新能源装备有限公司</w:t>
            </w:r>
          </w:p>
        </w:tc>
        <w:tc>
          <w:tcPr>
            <w:tcW w:w="1388" w:type="pct"/>
            <w:vAlign w:val="center"/>
          </w:tcPr>
          <w:p w14:paraId="2BE2F6AF">
            <w:pPr>
              <w:spacing w:line="240" w:lineRule="auto"/>
              <w:ind w:firstLine="0" w:firstLineChars="0"/>
              <w:rPr>
                <w:sz w:val="21"/>
                <w:szCs w:val="21"/>
              </w:rPr>
            </w:pPr>
            <w:r>
              <w:rPr>
                <w:sz w:val="21"/>
                <w:szCs w:val="21"/>
              </w:rPr>
              <w:t>建设年产200台钢制闭式冷却设备、200 台压力容器和700台盘管生产线制造基地</w:t>
            </w:r>
          </w:p>
        </w:tc>
        <w:tc>
          <w:tcPr>
            <w:tcW w:w="1388" w:type="pct"/>
            <w:vAlign w:val="center"/>
          </w:tcPr>
          <w:p w14:paraId="1DC3BC42">
            <w:pPr>
              <w:spacing w:line="240" w:lineRule="auto"/>
              <w:ind w:firstLine="0" w:firstLineChars="0"/>
              <w:rPr>
                <w:sz w:val="21"/>
                <w:szCs w:val="21"/>
              </w:rPr>
            </w:pPr>
          </w:p>
        </w:tc>
        <w:tc>
          <w:tcPr>
            <w:tcW w:w="720" w:type="pct"/>
            <w:vAlign w:val="center"/>
          </w:tcPr>
          <w:p w14:paraId="6419AC7D">
            <w:pPr>
              <w:spacing w:line="240" w:lineRule="auto"/>
              <w:ind w:firstLine="0" w:firstLineChars="0"/>
              <w:rPr>
                <w:sz w:val="21"/>
                <w:szCs w:val="21"/>
              </w:rPr>
            </w:pPr>
            <w:r>
              <w:rPr>
                <w:sz w:val="21"/>
                <w:szCs w:val="21"/>
              </w:rPr>
              <w:t>通用设备制造业</w:t>
            </w:r>
          </w:p>
        </w:tc>
      </w:tr>
      <w:tr w14:paraId="5561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950FDB7">
            <w:pPr>
              <w:spacing w:line="240" w:lineRule="auto"/>
              <w:ind w:firstLine="0" w:firstLineChars="0"/>
              <w:rPr>
                <w:sz w:val="21"/>
                <w:szCs w:val="21"/>
              </w:rPr>
            </w:pPr>
            <w:r>
              <w:rPr>
                <w:sz w:val="21"/>
                <w:szCs w:val="21"/>
              </w:rPr>
              <w:t>86</w:t>
            </w:r>
          </w:p>
        </w:tc>
        <w:tc>
          <w:tcPr>
            <w:tcW w:w="856" w:type="pct"/>
            <w:vAlign w:val="center"/>
          </w:tcPr>
          <w:p w14:paraId="74690861">
            <w:pPr>
              <w:spacing w:line="240" w:lineRule="auto"/>
              <w:ind w:firstLine="0" w:firstLineChars="0"/>
              <w:rPr>
                <w:sz w:val="21"/>
                <w:szCs w:val="21"/>
              </w:rPr>
            </w:pPr>
            <w:r>
              <w:rPr>
                <w:sz w:val="21"/>
                <w:szCs w:val="21"/>
              </w:rPr>
              <w:t>包头氢能装备制造产业园项目</w:t>
            </w:r>
          </w:p>
        </w:tc>
        <w:tc>
          <w:tcPr>
            <w:tcW w:w="1388" w:type="pct"/>
            <w:vAlign w:val="center"/>
          </w:tcPr>
          <w:p w14:paraId="1A8BF12B">
            <w:pPr>
              <w:spacing w:line="240" w:lineRule="auto"/>
              <w:ind w:firstLine="0" w:firstLineChars="0"/>
              <w:rPr>
                <w:sz w:val="21"/>
                <w:szCs w:val="21"/>
              </w:rPr>
            </w:pPr>
            <w:r>
              <w:rPr>
                <w:sz w:val="21"/>
                <w:szCs w:val="21"/>
              </w:rPr>
              <w:t>新能源制氢、储氢、运氢、加氢及氢燃料电池系统、电堆及其核心零部件制造等氢能装备类企业，打造成为自治区乃至全国氢能装备制造产业集聚基地</w:t>
            </w:r>
          </w:p>
        </w:tc>
        <w:tc>
          <w:tcPr>
            <w:tcW w:w="1388" w:type="pct"/>
            <w:vAlign w:val="center"/>
          </w:tcPr>
          <w:p w14:paraId="51A2E447">
            <w:pPr>
              <w:spacing w:line="240" w:lineRule="auto"/>
              <w:ind w:firstLine="0" w:firstLineChars="0"/>
              <w:rPr>
                <w:sz w:val="21"/>
                <w:szCs w:val="21"/>
              </w:rPr>
            </w:pPr>
            <w:r>
              <w:rPr>
                <w:sz w:val="21"/>
                <w:szCs w:val="21"/>
              </w:rPr>
              <w:t>加氢站、厂房、办公楼、研发中心等设施</w:t>
            </w:r>
          </w:p>
        </w:tc>
        <w:tc>
          <w:tcPr>
            <w:tcW w:w="720" w:type="pct"/>
            <w:vAlign w:val="center"/>
          </w:tcPr>
          <w:p w14:paraId="2760DFD8">
            <w:pPr>
              <w:spacing w:line="240" w:lineRule="auto"/>
              <w:ind w:firstLine="0" w:firstLineChars="0"/>
              <w:rPr>
                <w:sz w:val="21"/>
                <w:szCs w:val="21"/>
              </w:rPr>
            </w:pPr>
            <w:r>
              <w:rPr>
                <w:sz w:val="21"/>
                <w:szCs w:val="21"/>
              </w:rPr>
              <w:t>专用设备制造业</w:t>
            </w:r>
          </w:p>
        </w:tc>
      </w:tr>
      <w:tr w14:paraId="77A2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0D14215">
            <w:pPr>
              <w:spacing w:line="240" w:lineRule="auto"/>
              <w:ind w:firstLine="0" w:firstLineChars="0"/>
              <w:rPr>
                <w:sz w:val="21"/>
                <w:szCs w:val="21"/>
              </w:rPr>
            </w:pPr>
            <w:r>
              <w:rPr>
                <w:sz w:val="21"/>
                <w:szCs w:val="21"/>
              </w:rPr>
              <w:t>87</w:t>
            </w:r>
          </w:p>
        </w:tc>
        <w:tc>
          <w:tcPr>
            <w:tcW w:w="856" w:type="pct"/>
            <w:vAlign w:val="center"/>
          </w:tcPr>
          <w:p w14:paraId="3A871C17">
            <w:pPr>
              <w:spacing w:line="240" w:lineRule="auto"/>
              <w:ind w:firstLine="0" w:firstLineChars="0"/>
              <w:rPr>
                <w:sz w:val="21"/>
                <w:szCs w:val="21"/>
              </w:rPr>
            </w:pPr>
            <w:r>
              <w:rPr>
                <w:sz w:val="21"/>
                <w:szCs w:val="21"/>
              </w:rPr>
              <w:t>孚韦（内蒙古）安全装备有限公司</w:t>
            </w:r>
          </w:p>
        </w:tc>
        <w:tc>
          <w:tcPr>
            <w:tcW w:w="1388" w:type="pct"/>
            <w:vAlign w:val="center"/>
          </w:tcPr>
          <w:p w14:paraId="6268DFE1">
            <w:pPr>
              <w:spacing w:line="240" w:lineRule="auto"/>
              <w:ind w:firstLine="0" w:firstLineChars="0"/>
              <w:rPr>
                <w:sz w:val="21"/>
                <w:szCs w:val="21"/>
              </w:rPr>
            </w:pPr>
            <w:r>
              <w:rPr>
                <w:sz w:val="21"/>
                <w:szCs w:val="21"/>
              </w:rPr>
              <w:t>聚丙烯高分子材料项目</w:t>
            </w:r>
          </w:p>
        </w:tc>
        <w:tc>
          <w:tcPr>
            <w:tcW w:w="1388" w:type="pct"/>
            <w:vAlign w:val="center"/>
          </w:tcPr>
          <w:p w14:paraId="321ABCA5">
            <w:pPr>
              <w:spacing w:line="240" w:lineRule="auto"/>
              <w:ind w:firstLine="0" w:firstLineChars="0"/>
              <w:rPr>
                <w:sz w:val="21"/>
                <w:szCs w:val="21"/>
              </w:rPr>
            </w:pPr>
          </w:p>
        </w:tc>
        <w:tc>
          <w:tcPr>
            <w:tcW w:w="720" w:type="pct"/>
            <w:vMerge w:val="restart"/>
            <w:vAlign w:val="center"/>
          </w:tcPr>
          <w:p w14:paraId="3CDC883A">
            <w:pPr>
              <w:spacing w:line="240" w:lineRule="auto"/>
              <w:ind w:firstLine="0" w:firstLineChars="0"/>
              <w:rPr>
                <w:sz w:val="21"/>
                <w:szCs w:val="21"/>
              </w:rPr>
            </w:pPr>
            <w:r>
              <w:rPr>
                <w:sz w:val="21"/>
                <w:szCs w:val="21"/>
              </w:rPr>
              <w:t>非金属矿物制品制造业</w:t>
            </w:r>
          </w:p>
        </w:tc>
      </w:tr>
      <w:tr w14:paraId="431FE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663CADA">
            <w:pPr>
              <w:spacing w:line="240" w:lineRule="auto"/>
              <w:ind w:firstLine="0" w:firstLineChars="0"/>
              <w:rPr>
                <w:sz w:val="21"/>
                <w:szCs w:val="21"/>
              </w:rPr>
            </w:pPr>
            <w:r>
              <w:rPr>
                <w:sz w:val="21"/>
                <w:szCs w:val="21"/>
              </w:rPr>
              <w:t>88</w:t>
            </w:r>
          </w:p>
        </w:tc>
        <w:tc>
          <w:tcPr>
            <w:tcW w:w="856" w:type="pct"/>
            <w:vAlign w:val="center"/>
          </w:tcPr>
          <w:p w14:paraId="583BFD98">
            <w:pPr>
              <w:spacing w:line="240" w:lineRule="auto"/>
              <w:ind w:firstLine="0" w:firstLineChars="0"/>
              <w:rPr>
                <w:sz w:val="21"/>
                <w:szCs w:val="21"/>
              </w:rPr>
            </w:pPr>
            <w:r>
              <w:rPr>
                <w:sz w:val="21"/>
                <w:szCs w:val="21"/>
              </w:rPr>
              <w:t>包头卓宇科技有限公司</w:t>
            </w:r>
          </w:p>
        </w:tc>
        <w:tc>
          <w:tcPr>
            <w:tcW w:w="1388" w:type="pct"/>
            <w:vAlign w:val="center"/>
          </w:tcPr>
          <w:p w14:paraId="10251270">
            <w:pPr>
              <w:spacing w:line="240" w:lineRule="auto"/>
              <w:ind w:firstLine="0" w:firstLineChars="0"/>
              <w:rPr>
                <w:sz w:val="21"/>
                <w:szCs w:val="21"/>
              </w:rPr>
            </w:pPr>
            <w:r>
              <w:rPr>
                <w:sz w:val="21"/>
                <w:szCs w:val="21"/>
              </w:rPr>
              <w:t>年产12万个石英坩埚</w:t>
            </w:r>
          </w:p>
        </w:tc>
        <w:tc>
          <w:tcPr>
            <w:tcW w:w="1388" w:type="pct"/>
            <w:vAlign w:val="center"/>
          </w:tcPr>
          <w:p w14:paraId="60096841">
            <w:pPr>
              <w:spacing w:line="240" w:lineRule="auto"/>
              <w:ind w:firstLine="0" w:firstLineChars="0"/>
              <w:rPr>
                <w:sz w:val="21"/>
                <w:szCs w:val="21"/>
              </w:rPr>
            </w:pPr>
          </w:p>
        </w:tc>
        <w:tc>
          <w:tcPr>
            <w:tcW w:w="720" w:type="pct"/>
            <w:vMerge w:val="continue"/>
            <w:vAlign w:val="center"/>
          </w:tcPr>
          <w:p w14:paraId="40FCFAFE">
            <w:pPr>
              <w:widowControl/>
              <w:spacing w:line="240" w:lineRule="auto"/>
              <w:ind w:firstLine="0" w:firstLineChars="0"/>
              <w:jc w:val="left"/>
              <w:rPr>
                <w:rFonts w:eastAsia="等线"/>
                <w:sz w:val="21"/>
                <w:szCs w:val="21"/>
              </w:rPr>
            </w:pPr>
          </w:p>
        </w:tc>
      </w:tr>
      <w:tr w14:paraId="6F04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D7CCD04">
            <w:pPr>
              <w:spacing w:line="240" w:lineRule="auto"/>
              <w:ind w:firstLine="0" w:firstLineChars="0"/>
              <w:rPr>
                <w:sz w:val="21"/>
                <w:szCs w:val="21"/>
              </w:rPr>
            </w:pPr>
            <w:r>
              <w:rPr>
                <w:sz w:val="21"/>
                <w:szCs w:val="21"/>
              </w:rPr>
              <w:t>89</w:t>
            </w:r>
          </w:p>
        </w:tc>
        <w:tc>
          <w:tcPr>
            <w:tcW w:w="856" w:type="pct"/>
            <w:vAlign w:val="center"/>
          </w:tcPr>
          <w:p w14:paraId="1A51CF75">
            <w:pPr>
              <w:spacing w:line="240" w:lineRule="auto"/>
              <w:ind w:firstLine="0" w:firstLineChars="0"/>
              <w:rPr>
                <w:sz w:val="21"/>
                <w:szCs w:val="21"/>
              </w:rPr>
            </w:pPr>
            <w:r>
              <w:rPr>
                <w:sz w:val="21"/>
                <w:szCs w:val="21"/>
              </w:rPr>
              <w:t>包头市翔羽医药批发有限责任公司</w:t>
            </w:r>
          </w:p>
        </w:tc>
        <w:tc>
          <w:tcPr>
            <w:tcW w:w="1388" w:type="pct"/>
            <w:vAlign w:val="center"/>
          </w:tcPr>
          <w:p w14:paraId="2A6A8685">
            <w:pPr>
              <w:spacing w:line="240" w:lineRule="auto"/>
              <w:ind w:firstLine="0" w:firstLineChars="0"/>
              <w:rPr>
                <w:sz w:val="21"/>
                <w:szCs w:val="21"/>
              </w:rPr>
            </w:pPr>
            <w:r>
              <w:rPr>
                <w:sz w:val="21"/>
                <w:szCs w:val="21"/>
              </w:rPr>
              <w:t>仓储3200万吨药品的生产能力。</w:t>
            </w:r>
          </w:p>
        </w:tc>
        <w:tc>
          <w:tcPr>
            <w:tcW w:w="1388" w:type="pct"/>
            <w:vAlign w:val="center"/>
          </w:tcPr>
          <w:p w14:paraId="61DB12E1">
            <w:pPr>
              <w:spacing w:line="240" w:lineRule="auto"/>
              <w:ind w:firstLine="0" w:firstLineChars="0"/>
              <w:rPr>
                <w:sz w:val="21"/>
                <w:szCs w:val="21"/>
              </w:rPr>
            </w:pPr>
          </w:p>
        </w:tc>
        <w:tc>
          <w:tcPr>
            <w:tcW w:w="720" w:type="pct"/>
            <w:vAlign w:val="center"/>
          </w:tcPr>
          <w:p w14:paraId="0CBA82C5">
            <w:pPr>
              <w:widowControl/>
              <w:spacing w:line="240" w:lineRule="auto"/>
              <w:ind w:firstLine="0" w:firstLineChars="0"/>
              <w:jc w:val="left"/>
              <w:rPr>
                <w:rFonts w:eastAsia="等线"/>
                <w:sz w:val="21"/>
                <w:szCs w:val="21"/>
              </w:rPr>
            </w:pPr>
          </w:p>
        </w:tc>
      </w:tr>
      <w:tr w14:paraId="61BB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4222DE4">
            <w:pPr>
              <w:spacing w:line="240" w:lineRule="auto"/>
              <w:ind w:firstLine="0" w:firstLineChars="0"/>
              <w:rPr>
                <w:sz w:val="21"/>
                <w:szCs w:val="21"/>
              </w:rPr>
            </w:pPr>
            <w:r>
              <w:rPr>
                <w:sz w:val="21"/>
                <w:szCs w:val="21"/>
              </w:rPr>
              <w:t>90</w:t>
            </w:r>
          </w:p>
        </w:tc>
        <w:tc>
          <w:tcPr>
            <w:tcW w:w="856" w:type="pct"/>
            <w:vAlign w:val="center"/>
          </w:tcPr>
          <w:p w14:paraId="0964CC67">
            <w:pPr>
              <w:spacing w:line="240" w:lineRule="auto"/>
              <w:ind w:firstLine="0" w:firstLineChars="0"/>
              <w:rPr>
                <w:sz w:val="21"/>
                <w:szCs w:val="21"/>
              </w:rPr>
            </w:pPr>
            <w:r>
              <w:rPr>
                <w:sz w:val="21"/>
                <w:szCs w:val="21"/>
              </w:rPr>
              <w:t>包头市神龙医药有限责任公司</w:t>
            </w:r>
          </w:p>
        </w:tc>
        <w:tc>
          <w:tcPr>
            <w:tcW w:w="1388" w:type="pct"/>
            <w:vAlign w:val="center"/>
          </w:tcPr>
          <w:p w14:paraId="5BC1A1FB">
            <w:pPr>
              <w:spacing w:line="240" w:lineRule="auto"/>
              <w:ind w:firstLine="0" w:firstLineChars="0"/>
              <w:rPr>
                <w:sz w:val="21"/>
                <w:szCs w:val="21"/>
              </w:rPr>
            </w:pPr>
            <w:r>
              <w:rPr>
                <w:sz w:val="21"/>
                <w:szCs w:val="21"/>
              </w:rPr>
              <w:t>年存储3000吨、年加工1000吨药品的生产能力</w:t>
            </w:r>
          </w:p>
        </w:tc>
        <w:tc>
          <w:tcPr>
            <w:tcW w:w="1388" w:type="pct"/>
            <w:vAlign w:val="center"/>
          </w:tcPr>
          <w:p w14:paraId="7C83BA3B">
            <w:pPr>
              <w:spacing w:line="240" w:lineRule="auto"/>
              <w:ind w:firstLine="0" w:firstLineChars="0"/>
              <w:rPr>
                <w:sz w:val="21"/>
                <w:szCs w:val="21"/>
              </w:rPr>
            </w:pPr>
          </w:p>
        </w:tc>
        <w:tc>
          <w:tcPr>
            <w:tcW w:w="720" w:type="pct"/>
            <w:vAlign w:val="center"/>
          </w:tcPr>
          <w:p w14:paraId="0B31B197">
            <w:pPr>
              <w:widowControl/>
              <w:spacing w:line="240" w:lineRule="auto"/>
              <w:ind w:firstLine="0" w:firstLineChars="0"/>
              <w:jc w:val="left"/>
              <w:rPr>
                <w:rFonts w:eastAsia="等线"/>
                <w:sz w:val="21"/>
                <w:szCs w:val="21"/>
              </w:rPr>
            </w:pPr>
          </w:p>
        </w:tc>
      </w:tr>
      <w:tr w14:paraId="1F36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1E119C1">
            <w:pPr>
              <w:spacing w:line="240" w:lineRule="auto"/>
              <w:ind w:firstLine="0" w:firstLineChars="0"/>
              <w:rPr>
                <w:sz w:val="21"/>
                <w:szCs w:val="21"/>
              </w:rPr>
            </w:pPr>
            <w:r>
              <w:rPr>
                <w:sz w:val="21"/>
                <w:szCs w:val="21"/>
              </w:rPr>
              <w:t>91</w:t>
            </w:r>
          </w:p>
        </w:tc>
        <w:tc>
          <w:tcPr>
            <w:tcW w:w="856" w:type="pct"/>
            <w:vAlign w:val="center"/>
          </w:tcPr>
          <w:p w14:paraId="19253932">
            <w:pPr>
              <w:spacing w:line="240" w:lineRule="auto"/>
              <w:ind w:firstLine="0" w:firstLineChars="0"/>
              <w:rPr>
                <w:sz w:val="21"/>
                <w:szCs w:val="21"/>
              </w:rPr>
            </w:pPr>
            <w:r>
              <w:rPr>
                <w:sz w:val="21"/>
                <w:szCs w:val="21"/>
              </w:rPr>
              <w:t>包头市信泰恒医药有限公司</w:t>
            </w:r>
          </w:p>
        </w:tc>
        <w:tc>
          <w:tcPr>
            <w:tcW w:w="1388" w:type="pct"/>
            <w:vAlign w:val="center"/>
          </w:tcPr>
          <w:p w14:paraId="46FC7084">
            <w:pPr>
              <w:spacing w:line="240" w:lineRule="auto"/>
              <w:ind w:firstLine="0" w:firstLineChars="0"/>
              <w:rPr>
                <w:sz w:val="21"/>
                <w:szCs w:val="21"/>
              </w:rPr>
            </w:pPr>
            <w:r>
              <w:rPr>
                <w:sz w:val="21"/>
                <w:szCs w:val="21"/>
              </w:rPr>
              <w:t>中药饮片生产加工制造及储存配送</w:t>
            </w:r>
          </w:p>
        </w:tc>
        <w:tc>
          <w:tcPr>
            <w:tcW w:w="1388" w:type="pct"/>
            <w:vAlign w:val="center"/>
          </w:tcPr>
          <w:p w14:paraId="53AF85A4">
            <w:pPr>
              <w:spacing w:line="240" w:lineRule="auto"/>
              <w:ind w:firstLine="0" w:firstLineChars="0"/>
              <w:rPr>
                <w:sz w:val="21"/>
                <w:szCs w:val="21"/>
              </w:rPr>
            </w:pPr>
          </w:p>
        </w:tc>
        <w:tc>
          <w:tcPr>
            <w:tcW w:w="720" w:type="pct"/>
            <w:vAlign w:val="center"/>
          </w:tcPr>
          <w:p w14:paraId="490AEE23">
            <w:pPr>
              <w:widowControl/>
              <w:spacing w:line="240" w:lineRule="auto"/>
              <w:ind w:firstLine="0" w:firstLineChars="0"/>
              <w:jc w:val="left"/>
              <w:rPr>
                <w:rFonts w:eastAsia="等线"/>
                <w:sz w:val="21"/>
                <w:szCs w:val="21"/>
              </w:rPr>
            </w:pPr>
          </w:p>
        </w:tc>
      </w:tr>
    </w:tbl>
    <w:p w14:paraId="3D399A37">
      <w:pPr>
        <w:ind w:left="560" w:firstLine="0" w:firstLineChars="0"/>
      </w:pPr>
      <w:bookmarkStart w:id="898" w:name="_Toc182320755"/>
      <w:bookmarkStart w:id="899" w:name="_Toc186205341"/>
    </w:p>
    <w:p w14:paraId="0C15D019">
      <w:pPr>
        <w:ind w:left="560" w:firstLine="0" w:firstLineChars="0"/>
      </w:pPr>
    </w:p>
    <w:p w14:paraId="362E03B1">
      <w:pPr>
        <w:pStyle w:val="95"/>
      </w:pPr>
      <w:bookmarkStart w:id="900" w:name="_Toc192675985"/>
      <w:r>
        <w:t>附表2 园区企业基本情况（已建区）</w:t>
      </w:r>
      <w:bookmarkEnd w:id="898"/>
      <w:bookmarkEnd w:id="899"/>
      <w:bookmarkEnd w:id="900"/>
    </w:p>
    <w:tbl>
      <w:tblPr>
        <w:tblStyle w:val="6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1459"/>
        <w:gridCol w:w="2366"/>
        <w:gridCol w:w="2366"/>
        <w:gridCol w:w="1227"/>
      </w:tblGrid>
      <w:tr w14:paraId="357A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8" w:type="pct"/>
            <w:vAlign w:val="center"/>
          </w:tcPr>
          <w:p w14:paraId="21AB80E0">
            <w:pPr>
              <w:spacing w:line="240" w:lineRule="auto"/>
              <w:ind w:firstLine="0" w:firstLineChars="0"/>
              <w:jc w:val="center"/>
              <w:rPr>
                <w:sz w:val="21"/>
                <w:szCs w:val="21"/>
              </w:rPr>
            </w:pPr>
            <w:r>
              <w:rPr>
                <w:sz w:val="21"/>
                <w:szCs w:val="21"/>
              </w:rPr>
              <w:t>序号</w:t>
            </w:r>
          </w:p>
        </w:tc>
        <w:tc>
          <w:tcPr>
            <w:tcW w:w="856" w:type="pct"/>
            <w:vAlign w:val="center"/>
          </w:tcPr>
          <w:p w14:paraId="7F12A28A">
            <w:pPr>
              <w:spacing w:line="240" w:lineRule="auto"/>
              <w:ind w:firstLine="0" w:firstLineChars="0"/>
              <w:rPr>
                <w:sz w:val="21"/>
                <w:szCs w:val="21"/>
              </w:rPr>
            </w:pPr>
            <w:r>
              <w:rPr>
                <w:sz w:val="21"/>
                <w:szCs w:val="21"/>
              </w:rPr>
              <w:t>企业名称</w:t>
            </w:r>
          </w:p>
        </w:tc>
        <w:tc>
          <w:tcPr>
            <w:tcW w:w="1388" w:type="pct"/>
            <w:vAlign w:val="center"/>
          </w:tcPr>
          <w:p w14:paraId="3B9CD214">
            <w:pPr>
              <w:spacing w:line="240" w:lineRule="auto"/>
              <w:ind w:firstLine="0" w:firstLineChars="0"/>
              <w:rPr>
                <w:sz w:val="21"/>
                <w:szCs w:val="21"/>
              </w:rPr>
            </w:pPr>
            <w:r>
              <w:rPr>
                <w:sz w:val="21"/>
                <w:szCs w:val="21"/>
              </w:rPr>
              <w:t>主要产品及设计生产能力</w:t>
            </w:r>
          </w:p>
        </w:tc>
        <w:tc>
          <w:tcPr>
            <w:tcW w:w="1388" w:type="pct"/>
            <w:vAlign w:val="center"/>
          </w:tcPr>
          <w:p w14:paraId="4FAC9F0F">
            <w:pPr>
              <w:spacing w:line="240" w:lineRule="auto"/>
              <w:ind w:firstLine="0" w:firstLineChars="0"/>
              <w:rPr>
                <w:sz w:val="21"/>
                <w:szCs w:val="21"/>
              </w:rPr>
            </w:pPr>
            <w:r>
              <w:rPr>
                <w:sz w:val="21"/>
                <w:szCs w:val="21"/>
              </w:rPr>
              <w:t>主要装备及技术</w:t>
            </w:r>
          </w:p>
        </w:tc>
        <w:tc>
          <w:tcPr>
            <w:tcW w:w="720" w:type="pct"/>
            <w:vAlign w:val="center"/>
          </w:tcPr>
          <w:p w14:paraId="5BF7A0E9">
            <w:pPr>
              <w:spacing w:line="240" w:lineRule="auto"/>
              <w:ind w:firstLine="0" w:firstLineChars="0"/>
              <w:rPr>
                <w:sz w:val="21"/>
                <w:szCs w:val="21"/>
              </w:rPr>
            </w:pPr>
            <w:r>
              <w:rPr>
                <w:sz w:val="21"/>
                <w:szCs w:val="21"/>
              </w:rPr>
              <w:t>行业类别</w:t>
            </w:r>
          </w:p>
        </w:tc>
      </w:tr>
      <w:tr w14:paraId="04F0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58DF5D84">
            <w:pPr>
              <w:spacing w:line="240" w:lineRule="auto"/>
              <w:ind w:firstLine="0" w:firstLineChars="0"/>
              <w:rPr>
                <w:sz w:val="21"/>
                <w:szCs w:val="21"/>
              </w:rPr>
            </w:pPr>
            <w:r>
              <w:rPr>
                <w:sz w:val="21"/>
                <w:szCs w:val="21"/>
              </w:rPr>
              <w:t>1</w:t>
            </w:r>
          </w:p>
        </w:tc>
        <w:tc>
          <w:tcPr>
            <w:tcW w:w="856" w:type="pct"/>
            <w:vMerge w:val="restart"/>
            <w:vAlign w:val="center"/>
          </w:tcPr>
          <w:p w14:paraId="741588CC">
            <w:pPr>
              <w:spacing w:line="240" w:lineRule="auto"/>
              <w:ind w:firstLine="0" w:firstLineChars="0"/>
              <w:rPr>
                <w:sz w:val="21"/>
                <w:szCs w:val="21"/>
              </w:rPr>
            </w:pPr>
            <w:r>
              <w:rPr>
                <w:sz w:val="21"/>
                <w:szCs w:val="21"/>
              </w:rPr>
              <w:t>北奔重型汽车集团有限公司</w:t>
            </w:r>
          </w:p>
        </w:tc>
        <w:tc>
          <w:tcPr>
            <w:tcW w:w="1388" w:type="pct"/>
            <w:vAlign w:val="center"/>
          </w:tcPr>
          <w:p w14:paraId="4082AAB4">
            <w:pPr>
              <w:spacing w:line="240" w:lineRule="auto"/>
              <w:ind w:firstLine="0" w:firstLineChars="0"/>
              <w:rPr>
                <w:sz w:val="21"/>
                <w:szCs w:val="21"/>
              </w:rPr>
            </w:pPr>
            <w:r>
              <w:rPr>
                <w:sz w:val="21"/>
                <w:szCs w:val="21"/>
              </w:rPr>
              <w:t>单班年产3万辆、双班年产5万辆重卡整车</w:t>
            </w:r>
          </w:p>
        </w:tc>
        <w:tc>
          <w:tcPr>
            <w:tcW w:w="1388" w:type="pct"/>
            <w:vAlign w:val="center"/>
          </w:tcPr>
          <w:p w14:paraId="7FE38E40">
            <w:pPr>
              <w:spacing w:line="240" w:lineRule="auto"/>
              <w:ind w:firstLine="0" w:firstLineChars="0"/>
              <w:rPr>
                <w:sz w:val="21"/>
                <w:szCs w:val="21"/>
              </w:rPr>
            </w:pPr>
            <w:r>
              <w:rPr>
                <w:sz w:val="21"/>
                <w:szCs w:val="21"/>
              </w:rPr>
              <w:t>总装车间、检测调试返修车间、公用配套设施、工艺停车场及整车成品停放场，形成一条工艺布置为U型的总装配线</w:t>
            </w:r>
          </w:p>
        </w:tc>
        <w:tc>
          <w:tcPr>
            <w:tcW w:w="720" w:type="pct"/>
            <w:vMerge w:val="restart"/>
            <w:vAlign w:val="center"/>
          </w:tcPr>
          <w:p w14:paraId="7F0AA0ED">
            <w:pPr>
              <w:spacing w:line="240" w:lineRule="auto"/>
              <w:ind w:firstLine="0" w:firstLineChars="0"/>
              <w:rPr>
                <w:sz w:val="21"/>
                <w:szCs w:val="21"/>
              </w:rPr>
            </w:pPr>
            <w:r>
              <w:rPr>
                <w:sz w:val="21"/>
                <w:szCs w:val="21"/>
              </w:rPr>
              <w:t>汽车制造业</w:t>
            </w:r>
          </w:p>
        </w:tc>
      </w:tr>
      <w:tr w14:paraId="5CFE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1E304E71">
            <w:pPr>
              <w:widowControl/>
              <w:spacing w:line="240" w:lineRule="auto"/>
              <w:ind w:firstLine="0" w:firstLineChars="0"/>
              <w:jc w:val="left"/>
              <w:rPr>
                <w:rFonts w:eastAsia="等线"/>
                <w:sz w:val="21"/>
                <w:szCs w:val="21"/>
              </w:rPr>
            </w:pPr>
          </w:p>
        </w:tc>
        <w:tc>
          <w:tcPr>
            <w:tcW w:w="856" w:type="pct"/>
            <w:vMerge w:val="continue"/>
            <w:vAlign w:val="center"/>
          </w:tcPr>
          <w:p w14:paraId="1A711115">
            <w:pPr>
              <w:widowControl/>
              <w:spacing w:line="240" w:lineRule="auto"/>
              <w:ind w:firstLine="0" w:firstLineChars="0"/>
              <w:jc w:val="left"/>
              <w:rPr>
                <w:rFonts w:eastAsia="等线"/>
                <w:sz w:val="21"/>
                <w:szCs w:val="21"/>
              </w:rPr>
            </w:pPr>
          </w:p>
        </w:tc>
        <w:tc>
          <w:tcPr>
            <w:tcW w:w="1388" w:type="pct"/>
            <w:vAlign w:val="center"/>
          </w:tcPr>
          <w:p w14:paraId="73FBD4C7">
            <w:pPr>
              <w:spacing w:line="240" w:lineRule="auto"/>
              <w:ind w:firstLine="0" w:firstLineChars="0"/>
              <w:rPr>
                <w:sz w:val="21"/>
                <w:szCs w:val="21"/>
              </w:rPr>
            </w:pPr>
            <w:r>
              <w:rPr>
                <w:sz w:val="21"/>
                <w:szCs w:val="21"/>
              </w:rPr>
              <w:t>备件中心，具备6000万元的储备能力</w:t>
            </w:r>
          </w:p>
        </w:tc>
        <w:tc>
          <w:tcPr>
            <w:tcW w:w="1388" w:type="pct"/>
            <w:vAlign w:val="center"/>
          </w:tcPr>
          <w:p w14:paraId="4FA28282">
            <w:pPr>
              <w:spacing w:line="240" w:lineRule="auto"/>
              <w:ind w:firstLine="0" w:firstLineChars="0"/>
              <w:rPr>
                <w:sz w:val="21"/>
                <w:szCs w:val="21"/>
              </w:rPr>
            </w:pPr>
            <w:r>
              <w:rPr>
                <w:sz w:val="21"/>
                <w:szCs w:val="21"/>
              </w:rPr>
              <w:t>主要用于汽车零部件的储存，主要储存北奔重汽系列零部件，包括车架、车身及发动机等。项目主要设备为各类货架、起重机、叉车、搬运车等。</w:t>
            </w:r>
          </w:p>
        </w:tc>
        <w:tc>
          <w:tcPr>
            <w:tcW w:w="720" w:type="pct"/>
            <w:vMerge w:val="continue"/>
            <w:vAlign w:val="center"/>
          </w:tcPr>
          <w:p w14:paraId="38550F17">
            <w:pPr>
              <w:widowControl/>
              <w:spacing w:line="240" w:lineRule="auto"/>
              <w:ind w:firstLine="0" w:firstLineChars="0"/>
              <w:jc w:val="left"/>
              <w:rPr>
                <w:rFonts w:eastAsia="等线"/>
                <w:sz w:val="21"/>
                <w:szCs w:val="21"/>
              </w:rPr>
            </w:pPr>
          </w:p>
        </w:tc>
      </w:tr>
      <w:tr w14:paraId="385F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4AAC7217">
            <w:pPr>
              <w:widowControl/>
              <w:spacing w:line="240" w:lineRule="auto"/>
              <w:ind w:firstLine="0" w:firstLineChars="0"/>
              <w:jc w:val="left"/>
              <w:rPr>
                <w:rFonts w:eastAsia="等线"/>
                <w:sz w:val="21"/>
                <w:szCs w:val="21"/>
              </w:rPr>
            </w:pPr>
          </w:p>
        </w:tc>
        <w:tc>
          <w:tcPr>
            <w:tcW w:w="856" w:type="pct"/>
            <w:vMerge w:val="continue"/>
            <w:vAlign w:val="center"/>
          </w:tcPr>
          <w:p w14:paraId="3E7C9E94">
            <w:pPr>
              <w:widowControl/>
              <w:spacing w:line="240" w:lineRule="auto"/>
              <w:ind w:firstLine="0" w:firstLineChars="0"/>
              <w:jc w:val="left"/>
              <w:rPr>
                <w:rFonts w:eastAsia="等线"/>
                <w:sz w:val="21"/>
                <w:szCs w:val="21"/>
              </w:rPr>
            </w:pPr>
          </w:p>
        </w:tc>
        <w:tc>
          <w:tcPr>
            <w:tcW w:w="1388" w:type="pct"/>
            <w:vAlign w:val="center"/>
          </w:tcPr>
          <w:p w14:paraId="008CA867">
            <w:pPr>
              <w:spacing w:line="240" w:lineRule="auto"/>
              <w:ind w:firstLine="0" w:firstLineChars="0"/>
              <w:rPr>
                <w:sz w:val="21"/>
                <w:szCs w:val="21"/>
              </w:rPr>
            </w:pPr>
            <w:r>
              <w:rPr>
                <w:sz w:val="21"/>
                <w:szCs w:val="21"/>
              </w:rPr>
              <w:t>北奔重汽研发中心</w:t>
            </w:r>
          </w:p>
        </w:tc>
        <w:tc>
          <w:tcPr>
            <w:tcW w:w="1388" w:type="pct"/>
            <w:vAlign w:val="center"/>
          </w:tcPr>
          <w:p w14:paraId="75F61774">
            <w:pPr>
              <w:spacing w:line="240" w:lineRule="auto"/>
              <w:ind w:firstLine="0" w:firstLineChars="0"/>
              <w:rPr>
                <w:sz w:val="21"/>
                <w:szCs w:val="21"/>
              </w:rPr>
            </w:pPr>
            <w:r>
              <w:rPr>
                <w:sz w:val="21"/>
                <w:szCs w:val="21"/>
              </w:rPr>
              <w:t>研发中心拥有国际标准的整车综合实验室、电子电器试验室、车桥综合检测试验室、发动机综合检测试验室、车架综合检测试验室、车身造型研究室</w:t>
            </w:r>
          </w:p>
        </w:tc>
        <w:tc>
          <w:tcPr>
            <w:tcW w:w="720" w:type="pct"/>
            <w:vMerge w:val="continue"/>
            <w:vAlign w:val="center"/>
          </w:tcPr>
          <w:p w14:paraId="453EA3EA">
            <w:pPr>
              <w:widowControl/>
              <w:spacing w:line="240" w:lineRule="auto"/>
              <w:ind w:firstLine="0" w:firstLineChars="0"/>
              <w:jc w:val="left"/>
              <w:rPr>
                <w:rFonts w:eastAsia="等线"/>
                <w:sz w:val="21"/>
                <w:szCs w:val="21"/>
              </w:rPr>
            </w:pPr>
          </w:p>
        </w:tc>
      </w:tr>
      <w:tr w14:paraId="3A04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781F6F7D">
            <w:pPr>
              <w:widowControl/>
              <w:spacing w:line="240" w:lineRule="auto"/>
              <w:ind w:firstLine="0" w:firstLineChars="0"/>
              <w:jc w:val="left"/>
              <w:rPr>
                <w:rFonts w:eastAsia="等线"/>
                <w:sz w:val="21"/>
                <w:szCs w:val="21"/>
              </w:rPr>
            </w:pPr>
          </w:p>
        </w:tc>
        <w:tc>
          <w:tcPr>
            <w:tcW w:w="856" w:type="pct"/>
            <w:vMerge w:val="continue"/>
            <w:vAlign w:val="center"/>
          </w:tcPr>
          <w:p w14:paraId="33CA7DC8">
            <w:pPr>
              <w:widowControl/>
              <w:spacing w:line="240" w:lineRule="auto"/>
              <w:ind w:firstLine="0" w:firstLineChars="0"/>
              <w:jc w:val="left"/>
              <w:rPr>
                <w:rFonts w:eastAsia="等线"/>
                <w:sz w:val="21"/>
                <w:szCs w:val="21"/>
              </w:rPr>
            </w:pPr>
          </w:p>
        </w:tc>
        <w:tc>
          <w:tcPr>
            <w:tcW w:w="1388" w:type="pct"/>
            <w:vAlign w:val="center"/>
          </w:tcPr>
          <w:p w14:paraId="08A310B0">
            <w:pPr>
              <w:spacing w:line="240" w:lineRule="auto"/>
              <w:ind w:firstLine="0" w:firstLineChars="0"/>
              <w:rPr>
                <w:sz w:val="21"/>
                <w:szCs w:val="21"/>
              </w:rPr>
            </w:pPr>
            <w:r>
              <w:rPr>
                <w:sz w:val="21"/>
                <w:szCs w:val="21"/>
              </w:rPr>
              <w:t>年总配6万台（套）驾驶室</w:t>
            </w:r>
          </w:p>
        </w:tc>
        <w:tc>
          <w:tcPr>
            <w:tcW w:w="1388" w:type="pct"/>
            <w:vAlign w:val="center"/>
          </w:tcPr>
          <w:p w14:paraId="1F796C42">
            <w:pPr>
              <w:spacing w:line="240" w:lineRule="auto"/>
              <w:ind w:firstLine="0" w:firstLineChars="0"/>
              <w:rPr>
                <w:sz w:val="21"/>
                <w:szCs w:val="21"/>
              </w:rPr>
            </w:pPr>
            <w:r>
              <w:rPr>
                <w:sz w:val="21"/>
                <w:szCs w:val="21"/>
              </w:rPr>
              <w:t>冲压车间、焊装车间、涂装车间、内饰车间</w:t>
            </w:r>
          </w:p>
        </w:tc>
        <w:tc>
          <w:tcPr>
            <w:tcW w:w="720" w:type="pct"/>
            <w:vMerge w:val="continue"/>
            <w:vAlign w:val="center"/>
          </w:tcPr>
          <w:p w14:paraId="46F0E019">
            <w:pPr>
              <w:widowControl/>
              <w:spacing w:line="240" w:lineRule="auto"/>
              <w:ind w:firstLine="0" w:firstLineChars="0"/>
              <w:jc w:val="left"/>
              <w:rPr>
                <w:rFonts w:eastAsia="等线"/>
                <w:sz w:val="21"/>
                <w:szCs w:val="21"/>
              </w:rPr>
            </w:pPr>
          </w:p>
        </w:tc>
      </w:tr>
      <w:tr w14:paraId="1BE8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A88C7AD">
            <w:pPr>
              <w:spacing w:line="240" w:lineRule="auto"/>
              <w:ind w:firstLine="0" w:firstLineChars="0"/>
              <w:rPr>
                <w:sz w:val="21"/>
                <w:szCs w:val="21"/>
              </w:rPr>
            </w:pPr>
            <w:r>
              <w:rPr>
                <w:sz w:val="21"/>
                <w:szCs w:val="21"/>
              </w:rPr>
              <w:t>2</w:t>
            </w:r>
          </w:p>
        </w:tc>
        <w:tc>
          <w:tcPr>
            <w:tcW w:w="856" w:type="pct"/>
            <w:vAlign w:val="center"/>
          </w:tcPr>
          <w:p w14:paraId="15B73359">
            <w:pPr>
              <w:spacing w:line="240" w:lineRule="auto"/>
              <w:ind w:firstLine="0" w:firstLineChars="0"/>
              <w:rPr>
                <w:sz w:val="21"/>
                <w:szCs w:val="21"/>
              </w:rPr>
            </w:pPr>
            <w:r>
              <w:rPr>
                <w:sz w:val="21"/>
                <w:szCs w:val="21"/>
              </w:rPr>
              <w:t>包头北奔重汽桥箱有限公司</w:t>
            </w:r>
          </w:p>
        </w:tc>
        <w:tc>
          <w:tcPr>
            <w:tcW w:w="1388" w:type="pct"/>
            <w:vAlign w:val="center"/>
          </w:tcPr>
          <w:p w14:paraId="75F1A52D">
            <w:pPr>
              <w:spacing w:line="240" w:lineRule="auto"/>
              <w:ind w:firstLine="0" w:firstLineChars="0"/>
              <w:rPr>
                <w:sz w:val="21"/>
                <w:szCs w:val="21"/>
              </w:rPr>
            </w:pPr>
            <w:r>
              <w:rPr>
                <w:sz w:val="21"/>
                <w:szCs w:val="21"/>
              </w:rPr>
              <w:t>年产17.5万根车桥</w:t>
            </w:r>
          </w:p>
        </w:tc>
        <w:tc>
          <w:tcPr>
            <w:tcW w:w="1388" w:type="pct"/>
            <w:vAlign w:val="center"/>
          </w:tcPr>
          <w:p w14:paraId="0BC4CD7B">
            <w:pPr>
              <w:spacing w:line="240" w:lineRule="auto"/>
              <w:ind w:firstLine="0" w:firstLineChars="0"/>
              <w:rPr>
                <w:sz w:val="21"/>
                <w:szCs w:val="21"/>
              </w:rPr>
            </w:pPr>
            <w:r>
              <w:rPr>
                <w:sz w:val="21"/>
                <w:szCs w:val="21"/>
              </w:rPr>
              <w:t>冲压、焊装、机械加工、热处理、总装、涂装</w:t>
            </w:r>
          </w:p>
        </w:tc>
        <w:tc>
          <w:tcPr>
            <w:tcW w:w="720" w:type="pct"/>
            <w:vAlign w:val="center"/>
          </w:tcPr>
          <w:p w14:paraId="72D9E249">
            <w:pPr>
              <w:spacing w:line="240" w:lineRule="auto"/>
              <w:ind w:firstLine="0" w:firstLineChars="0"/>
              <w:rPr>
                <w:sz w:val="21"/>
                <w:szCs w:val="21"/>
              </w:rPr>
            </w:pPr>
            <w:r>
              <w:rPr>
                <w:sz w:val="21"/>
                <w:szCs w:val="21"/>
              </w:rPr>
              <w:t>汽车制造业</w:t>
            </w:r>
          </w:p>
        </w:tc>
      </w:tr>
      <w:tr w14:paraId="0CBC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67B56398">
            <w:pPr>
              <w:spacing w:line="240" w:lineRule="auto"/>
              <w:ind w:firstLine="0" w:firstLineChars="0"/>
              <w:rPr>
                <w:sz w:val="21"/>
                <w:szCs w:val="21"/>
              </w:rPr>
            </w:pPr>
            <w:r>
              <w:rPr>
                <w:sz w:val="21"/>
                <w:szCs w:val="21"/>
              </w:rPr>
              <w:t>3</w:t>
            </w:r>
          </w:p>
        </w:tc>
        <w:tc>
          <w:tcPr>
            <w:tcW w:w="856" w:type="pct"/>
            <w:vMerge w:val="restart"/>
            <w:vAlign w:val="center"/>
          </w:tcPr>
          <w:p w14:paraId="6A62187B">
            <w:pPr>
              <w:spacing w:line="240" w:lineRule="auto"/>
              <w:ind w:firstLine="0" w:firstLineChars="0"/>
              <w:rPr>
                <w:sz w:val="21"/>
                <w:szCs w:val="21"/>
              </w:rPr>
            </w:pPr>
            <w:r>
              <w:rPr>
                <w:sz w:val="21"/>
                <w:szCs w:val="21"/>
              </w:rPr>
              <w:t>南高齿（包头）传动设备有限公司</w:t>
            </w:r>
          </w:p>
        </w:tc>
        <w:tc>
          <w:tcPr>
            <w:tcW w:w="1388" w:type="pct"/>
            <w:vAlign w:val="center"/>
          </w:tcPr>
          <w:p w14:paraId="561D9D3F">
            <w:pPr>
              <w:spacing w:line="240" w:lineRule="auto"/>
              <w:ind w:firstLine="0" w:firstLineChars="0"/>
              <w:rPr>
                <w:sz w:val="21"/>
                <w:szCs w:val="21"/>
              </w:rPr>
            </w:pPr>
            <w:r>
              <w:rPr>
                <w:sz w:val="21"/>
                <w:szCs w:val="21"/>
              </w:rPr>
              <w:t>年产1.5MW风电齿轮箱800台</w:t>
            </w:r>
          </w:p>
        </w:tc>
        <w:tc>
          <w:tcPr>
            <w:tcW w:w="1388" w:type="pct"/>
            <w:vAlign w:val="center"/>
          </w:tcPr>
          <w:p w14:paraId="205D6EC2">
            <w:pPr>
              <w:spacing w:line="240" w:lineRule="auto"/>
              <w:ind w:firstLine="0" w:firstLineChars="0"/>
              <w:rPr>
                <w:sz w:val="21"/>
                <w:szCs w:val="21"/>
              </w:rPr>
            </w:pPr>
            <w:r>
              <w:rPr>
                <w:sz w:val="21"/>
                <w:szCs w:val="21"/>
              </w:rPr>
              <w:t>热处理车间、机加工车间、装配车间等</w:t>
            </w:r>
          </w:p>
        </w:tc>
        <w:tc>
          <w:tcPr>
            <w:tcW w:w="720" w:type="pct"/>
            <w:vMerge w:val="restart"/>
            <w:vAlign w:val="center"/>
          </w:tcPr>
          <w:p w14:paraId="4E328F98">
            <w:pPr>
              <w:spacing w:line="240" w:lineRule="auto"/>
              <w:ind w:firstLine="0" w:firstLineChars="0"/>
              <w:rPr>
                <w:sz w:val="21"/>
                <w:szCs w:val="21"/>
              </w:rPr>
            </w:pPr>
            <w:r>
              <w:rPr>
                <w:sz w:val="21"/>
                <w:szCs w:val="21"/>
              </w:rPr>
              <w:t>电气机械和器材制造业</w:t>
            </w:r>
          </w:p>
        </w:tc>
      </w:tr>
      <w:tr w14:paraId="7354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256D34EF">
            <w:pPr>
              <w:widowControl/>
              <w:spacing w:line="240" w:lineRule="auto"/>
              <w:ind w:firstLine="0" w:firstLineChars="0"/>
              <w:jc w:val="left"/>
              <w:rPr>
                <w:rFonts w:eastAsia="等线"/>
                <w:sz w:val="21"/>
                <w:szCs w:val="21"/>
              </w:rPr>
            </w:pPr>
          </w:p>
        </w:tc>
        <w:tc>
          <w:tcPr>
            <w:tcW w:w="856" w:type="pct"/>
            <w:vMerge w:val="continue"/>
            <w:vAlign w:val="center"/>
          </w:tcPr>
          <w:p w14:paraId="0F30DC7C">
            <w:pPr>
              <w:widowControl/>
              <w:spacing w:line="240" w:lineRule="auto"/>
              <w:ind w:firstLine="0" w:firstLineChars="0"/>
              <w:jc w:val="left"/>
              <w:rPr>
                <w:rFonts w:eastAsia="等线"/>
                <w:sz w:val="21"/>
                <w:szCs w:val="21"/>
              </w:rPr>
            </w:pPr>
          </w:p>
        </w:tc>
        <w:tc>
          <w:tcPr>
            <w:tcW w:w="1388" w:type="pct"/>
            <w:vAlign w:val="center"/>
          </w:tcPr>
          <w:p w14:paraId="59E7CC51">
            <w:pPr>
              <w:spacing w:line="240" w:lineRule="auto"/>
              <w:ind w:firstLine="0" w:firstLineChars="0"/>
              <w:rPr>
                <w:sz w:val="21"/>
                <w:szCs w:val="21"/>
              </w:rPr>
            </w:pPr>
            <w:r>
              <w:rPr>
                <w:sz w:val="21"/>
                <w:szCs w:val="21"/>
              </w:rPr>
              <w:t>年产2-3MW风电齿轮箱500台</w:t>
            </w:r>
          </w:p>
        </w:tc>
        <w:tc>
          <w:tcPr>
            <w:tcW w:w="1388" w:type="pct"/>
            <w:vAlign w:val="center"/>
          </w:tcPr>
          <w:p w14:paraId="79AE19AC">
            <w:pPr>
              <w:spacing w:line="240" w:lineRule="auto"/>
              <w:ind w:firstLine="0" w:firstLineChars="0"/>
              <w:rPr>
                <w:sz w:val="21"/>
                <w:szCs w:val="21"/>
              </w:rPr>
            </w:pPr>
            <w:r>
              <w:rPr>
                <w:sz w:val="21"/>
                <w:szCs w:val="21"/>
              </w:rPr>
              <w:t>热处理车间、机加工车间、装配车间等</w:t>
            </w:r>
          </w:p>
        </w:tc>
        <w:tc>
          <w:tcPr>
            <w:tcW w:w="720" w:type="pct"/>
            <w:vMerge w:val="continue"/>
            <w:vAlign w:val="center"/>
          </w:tcPr>
          <w:p w14:paraId="5793874F">
            <w:pPr>
              <w:widowControl/>
              <w:spacing w:line="240" w:lineRule="auto"/>
              <w:ind w:firstLine="0" w:firstLineChars="0"/>
              <w:jc w:val="left"/>
              <w:rPr>
                <w:rFonts w:eastAsia="等线"/>
                <w:sz w:val="21"/>
                <w:szCs w:val="21"/>
              </w:rPr>
            </w:pPr>
          </w:p>
        </w:tc>
      </w:tr>
      <w:tr w14:paraId="2252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11CEFE98">
            <w:pPr>
              <w:widowControl/>
              <w:spacing w:line="240" w:lineRule="auto"/>
              <w:ind w:firstLine="0" w:firstLineChars="0"/>
              <w:jc w:val="left"/>
              <w:rPr>
                <w:rFonts w:eastAsia="等线"/>
                <w:sz w:val="21"/>
                <w:szCs w:val="21"/>
              </w:rPr>
            </w:pPr>
          </w:p>
        </w:tc>
        <w:tc>
          <w:tcPr>
            <w:tcW w:w="856" w:type="pct"/>
            <w:vMerge w:val="continue"/>
            <w:vAlign w:val="center"/>
          </w:tcPr>
          <w:p w14:paraId="38FD5B7C">
            <w:pPr>
              <w:widowControl/>
              <w:spacing w:line="240" w:lineRule="auto"/>
              <w:ind w:firstLine="0" w:firstLineChars="0"/>
              <w:jc w:val="left"/>
              <w:rPr>
                <w:rFonts w:eastAsia="等线"/>
                <w:sz w:val="21"/>
                <w:szCs w:val="21"/>
              </w:rPr>
            </w:pPr>
          </w:p>
        </w:tc>
        <w:tc>
          <w:tcPr>
            <w:tcW w:w="1388" w:type="pct"/>
            <w:vAlign w:val="center"/>
          </w:tcPr>
          <w:p w14:paraId="39C518F1">
            <w:pPr>
              <w:spacing w:line="240" w:lineRule="auto"/>
              <w:ind w:firstLine="0" w:firstLineChars="0"/>
              <w:rPr>
                <w:sz w:val="21"/>
                <w:szCs w:val="21"/>
              </w:rPr>
            </w:pPr>
            <w:r>
              <w:rPr>
                <w:sz w:val="21"/>
                <w:szCs w:val="21"/>
              </w:rPr>
              <w:t>年产风电齿轮箱500台</w:t>
            </w:r>
          </w:p>
        </w:tc>
        <w:tc>
          <w:tcPr>
            <w:tcW w:w="1388" w:type="pct"/>
            <w:vAlign w:val="center"/>
          </w:tcPr>
          <w:p w14:paraId="253623D2">
            <w:pPr>
              <w:spacing w:line="240" w:lineRule="auto"/>
              <w:ind w:firstLine="0" w:firstLineChars="0"/>
              <w:rPr>
                <w:sz w:val="21"/>
                <w:szCs w:val="21"/>
              </w:rPr>
            </w:pPr>
          </w:p>
        </w:tc>
        <w:tc>
          <w:tcPr>
            <w:tcW w:w="720" w:type="pct"/>
            <w:vMerge w:val="continue"/>
            <w:vAlign w:val="center"/>
          </w:tcPr>
          <w:p w14:paraId="4F8A0A59">
            <w:pPr>
              <w:widowControl/>
              <w:spacing w:line="240" w:lineRule="auto"/>
              <w:ind w:firstLine="0" w:firstLineChars="0"/>
              <w:jc w:val="left"/>
              <w:rPr>
                <w:rFonts w:eastAsia="等线"/>
                <w:sz w:val="21"/>
                <w:szCs w:val="21"/>
              </w:rPr>
            </w:pPr>
          </w:p>
        </w:tc>
      </w:tr>
      <w:tr w14:paraId="0DCE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4038B91">
            <w:pPr>
              <w:spacing w:line="240" w:lineRule="auto"/>
              <w:ind w:firstLine="0" w:firstLineChars="0"/>
              <w:rPr>
                <w:sz w:val="21"/>
                <w:szCs w:val="21"/>
              </w:rPr>
            </w:pPr>
            <w:r>
              <w:rPr>
                <w:sz w:val="21"/>
                <w:szCs w:val="21"/>
              </w:rPr>
              <w:t>4</w:t>
            </w:r>
          </w:p>
        </w:tc>
        <w:tc>
          <w:tcPr>
            <w:tcW w:w="856" w:type="pct"/>
            <w:vAlign w:val="center"/>
          </w:tcPr>
          <w:p w14:paraId="1474490C">
            <w:pPr>
              <w:spacing w:line="240" w:lineRule="auto"/>
              <w:ind w:firstLine="0" w:firstLineChars="0"/>
              <w:rPr>
                <w:sz w:val="21"/>
                <w:szCs w:val="21"/>
              </w:rPr>
            </w:pPr>
            <w:r>
              <w:rPr>
                <w:sz w:val="21"/>
                <w:szCs w:val="21"/>
              </w:rPr>
              <w:t>包头市恒达数控设备科技开发有限公司</w:t>
            </w:r>
          </w:p>
        </w:tc>
        <w:tc>
          <w:tcPr>
            <w:tcW w:w="1388" w:type="pct"/>
            <w:vAlign w:val="center"/>
          </w:tcPr>
          <w:p w14:paraId="4E63838C">
            <w:pPr>
              <w:spacing w:line="240" w:lineRule="auto"/>
              <w:ind w:firstLine="0" w:firstLineChars="0"/>
              <w:rPr>
                <w:sz w:val="21"/>
                <w:szCs w:val="21"/>
              </w:rPr>
            </w:pPr>
            <w:r>
              <w:rPr>
                <w:sz w:val="21"/>
                <w:szCs w:val="21"/>
              </w:rPr>
              <w:t>年产各类高端数控切割机20台</w:t>
            </w:r>
          </w:p>
        </w:tc>
        <w:tc>
          <w:tcPr>
            <w:tcW w:w="1388" w:type="pct"/>
            <w:vAlign w:val="center"/>
          </w:tcPr>
          <w:p w14:paraId="440E8094">
            <w:pPr>
              <w:spacing w:line="240" w:lineRule="auto"/>
              <w:ind w:firstLine="0" w:firstLineChars="0"/>
              <w:rPr>
                <w:sz w:val="21"/>
                <w:szCs w:val="21"/>
              </w:rPr>
            </w:pPr>
            <w:r>
              <w:rPr>
                <w:sz w:val="21"/>
                <w:szCs w:val="21"/>
              </w:rPr>
              <w:t>机械加工组装，无喷漆、焊接工序</w:t>
            </w:r>
          </w:p>
        </w:tc>
        <w:tc>
          <w:tcPr>
            <w:tcW w:w="720" w:type="pct"/>
            <w:vAlign w:val="center"/>
          </w:tcPr>
          <w:p w14:paraId="709B1811">
            <w:pPr>
              <w:spacing w:line="240" w:lineRule="auto"/>
              <w:ind w:firstLine="0" w:firstLineChars="0"/>
              <w:rPr>
                <w:sz w:val="21"/>
                <w:szCs w:val="21"/>
              </w:rPr>
            </w:pPr>
            <w:r>
              <w:rPr>
                <w:sz w:val="21"/>
                <w:szCs w:val="21"/>
              </w:rPr>
              <w:t>通用设备制造业</w:t>
            </w:r>
          </w:p>
        </w:tc>
      </w:tr>
      <w:tr w14:paraId="32BF1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434D1DC6">
            <w:pPr>
              <w:spacing w:line="240" w:lineRule="auto"/>
              <w:ind w:firstLine="0" w:firstLineChars="0"/>
              <w:rPr>
                <w:sz w:val="21"/>
                <w:szCs w:val="21"/>
              </w:rPr>
            </w:pPr>
            <w:r>
              <w:rPr>
                <w:sz w:val="21"/>
                <w:szCs w:val="21"/>
              </w:rPr>
              <w:t>5</w:t>
            </w:r>
          </w:p>
        </w:tc>
        <w:tc>
          <w:tcPr>
            <w:tcW w:w="856" w:type="pct"/>
            <w:vMerge w:val="restart"/>
            <w:vAlign w:val="center"/>
          </w:tcPr>
          <w:p w14:paraId="266F56DC">
            <w:pPr>
              <w:spacing w:line="240" w:lineRule="auto"/>
              <w:ind w:firstLine="0" w:firstLineChars="0"/>
              <w:rPr>
                <w:sz w:val="21"/>
                <w:szCs w:val="21"/>
              </w:rPr>
            </w:pPr>
            <w:r>
              <w:rPr>
                <w:sz w:val="21"/>
                <w:szCs w:val="21"/>
              </w:rPr>
              <w:t>包头昊天工业装备有限公司</w:t>
            </w:r>
          </w:p>
        </w:tc>
        <w:tc>
          <w:tcPr>
            <w:tcW w:w="1388" w:type="pct"/>
            <w:vAlign w:val="center"/>
          </w:tcPr>
          <w:p w14:paraId="0A8B9637">
            <w:pPr>
              <w:spacing w:line="240" w:lineRule="auto"/>
              <w:ind w:firstLine="0" w:firstLineChars="0"/>
              <w:rPr>
                <w:sz w:val="21"/>
                <w:szCs w:val="21"/>
              </w:rPr>
            </w:pPr>
            <w:r>
              <w:rPr>
                <w:sz w:val="21"/>
                <w:szCs w:val="21"/>
              </w:rPr>
              <w:t>年生产曲轴50万套</w:t>
            </w:r>
          </w:p>
        </w:tc>
        <w:tc>
          <w:tcPr>
            <w:tcW w:w="1388" w:type="pct"/>
            <w:vAlign w:val="center"/>
          </w:tcPr>
          <w:p w14:paraId="40961607">
            <w:pPr>
              <w:spacing w:line="240" w:lineRule="auto"/>
              <w:ind w:firstLine="0" w:firstLineChars="0"/>
              <w:rPr>
                <w:sz w:val="21"/>
                <w:szCs w:val="21"/>
              </w:rPr>
            </w:pPr>
            <w:r>
              <w:rPr>
                <w:sz w:val="21"/>
                <w:szCs w:val="21"/>
              </w:rPr>
              <w:t>原料粗加工、钻孔、淬火、回火、磨床、水洗、探伤、抛光</w:t>
            </w:r>
          </w:p>
        </w:tc>
        <w:tc>
          <w:tcPr>
            <w:tcW w:w="720" w:type="pct"/>
            <w:vMerge w:val="restart"/>
            <w:vAlign w:val="center"/>
          </w:tcPr>
          <w:p w14:paraId="33867871">
            <w:pPr>
              <w:spacing w:line="240" w:lineRule="auto"/>
              <w:ind w:firstLine="0" w:firstLineChars="0"/>
              <w:rPr>
                <w:sz w:val="21"/>
                <w:szCs w:val="21"/>
              </w:rPr>
            </w:pPr>
            <w:r>
              <w:rPr>
                <w:sz w:val="21"/>
                <w:szCs w:val="21"/>
              </w:rPr>
              <w:t>汽车制造业</w:t>
            </w:r>
          </w:p>
        </w:tc>
      </w:tr>
      <w:tr w14:paraId="4FF6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76933A55">
            <w:pPr>
              <w:widowControl/>
              <w:spacing w:line="240" w:lineRule="auto"/>
              <w:ind w:firstLine="0" w:firstLineChars="0"/>
              <w:jc w:val="left"/>
              <w:rPr>
                <w:rFonts w:eastAsia="等线"/>
                <w:sz w:val="21"/>
                <w:szCs w:val="21"/>
              </w:rPr>
            </w:pPr>
          </w:p>
        </w:tc>
        <w:tc>
          <w:tcPr>
            <w:tcW w:w="856" w:type="pct"/>
            <w:vMerge w:val="continue"/>
            <w:vAlign w:val="center"/>
          </w:tcPr>
          <w:p w14:paraId="7AF8C99D">
            <w:pPr>
              <w:widowControl/>
              <w:spacing w:line="240" w:lineRule="auto"/>
              <w:ind w:firstLine="0" w:firstLineChars="0"/>
              <w:jc w:val="left"/>
              <w:rPr>
                <w:rFonts w:eastAsia="等线"/>
                <w:sz w:val="21"/>
                <w:szCs w:val="21"/>
              </w:rPr>
            </w:pPr>
          </w:p>
        </w:tc>
        <w:tc>
          <w:tcPr>
            <w:tcW w:w="1388" w:type="pct"/>
            <w:vAlign w:val="center"/>
          </w:tcPr>
          <w:p w14:paraId="490BEA55">
            <w:pPr>
              <w:spacing w:line="240" w:lineRule="auto"/>
              <w:ind w:firstLine="0" w:firstLineChars="0"/>
              <w:rPr>
                <w:sz w:val="21"/>
                <w:szCs w:val="21"/>
              </w:rPr>
            </w:pPr>
            <w:r>
              <w:rPr>
                <w:sz w:val="21"/>
                <w:szCs w:val="21"/>
              </w:rPr>
              <w:t>年产10MC系列曲轴</w:t>
            </w:r>
          </w:p>
        </w:tc>
        <w:tc>
          <w:tcPr>
            <w:tcW w:w="1388" w:type="pct"/>
            <w:vAlign w:val="center"/>
          </w:tcPr>
          <w:p w14:paraId="4E76D086">
            <w:pPr>
              <w:spacing w:line="240" w:lineRule="auto"/>
              <w:ind w:firstLine="0" w:firstLineChars="0"/>
              <w:rPr>
                <w:sz w:val="21"/>
                <w:szCs w:val="21"/>
              </w:rPr>
            </w:pPr>
          </w:p>
        </w:tc>
        <w:tc>
          <w:tcPr>
            <w:tcW w:w="720" w:type="pct"/>
            <w:vMerge w:val="continue"/>
            <w:vAlign w:val="center"/>
          </w:tcPr>
          <w:p w14:paraId="6A8C0531">
            <w:pPr>
              <w:widowControl/>
              <w:spacing w:line="240" w:lineRule="auto"/>
              <w:ind w:firstLine="0" w:firstLineChars="0"/>
              <w:jc w:val="left"/>
              <w:rPr>
                <w:rFonts w:eastAsia="等线"/>
                <w:sz w:val="21"/>
                <w:szCs w:val="21"/>
              </w:rPr>
            </w:pPr>
          </w:p>
        </w:tc>
      </w:tr>
      <w:tr w14:paraId="0393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0543DB1">
            <w:pPr>
              <w:spacing w:line="240" w:lineRule="auto"/>
              <w:ind w:firstLine="0" w:firstLineChars="0"/>
              <w:rPr>
                <w:sz w:val="21"/>
                <w:szCs w:val="21"/>
              </w:rPr>
            </w:pPr>
            <w:r>
              <w:rPr>
                <w:sz w:val="21"/>
                <w:szCs w:val="21"/>
              </w:rPr>
              <w:t>6</w:t>
            </w:r>
          </w:p>
        </w:tc>
        <w:tc>
          <w:tcPr>
            <w:tcW w:w="856" w:type="pct"/>
            <w:vAlign w:val="center"/>
          </w:tcPr>
          <w:p w14:paraId="12FF7514">
            <w:pPr>
              <w:spacing w:line="240" w:lineRule="auto"/>
              <w:ind w:firstLine="0" w:firstLineChars="0"/>
              <w:rPr>
                <w:sz w:val="21"/>
                <w:szCs w:val="21"/>
              </w:rPr>
            </w:pPr>
            <w:r>
              <w:rPr>
                <w:sz w:val="21"/>
                <w:szCs w:val="21"/>
              </w:rPr>
              <w:t>内蒙古小尾羊食品有限公司</w:t>
            </w:r>
          </w:p>
        </w:tc>
        <w:tc>
          <w:tcPr>
            <w:tcW w:w="1388" w:type="pct"/>
            <w:vAlign w:val="center"/>
          </w:tcPr>
          <w:p w14:paraId="0D0435FE">
            <w:pPr>
              <w:spacing w:line="240" w:lineRule="auto"/>
              <w:ind w:firstLine="0" w:firstLineChars="0"/>
              <w:rPr>
                <w:sz w:val="21"/>
                <w:szCs w:val="21"/>
              </w:rPr>
            </w:pPr>
            <w:r>
              <w:rPr>
                <w:sz w:val="21"/>
                <w:szCs w:val="21"/>
              </w:rPr>
              <w:t>速冻肉业食品580t，加工调味品1500吨</w:t>
            </w:r>
          </w:p>
        </w:tc>
        <w:tc>
          <w:tcPr>
            <w:tcW w:w="1388" w:type="pct"/>
            <w:vAlign w:val="center"/>
          </w:tcPr>
          <w:p w14:paraId="27EA34B1">
            <w:pPr>
              <w:spacing w:line="240" w:lineRule="auto"/>
              <w:ind w:firstLine="0" w:firstLineChars="0"/>
              <w:rPr>
                <w:sz w:val="21"/>
                <w:szCs w:val="21"/>
              </w:rPr>
            </w:pPr>
            <w:r>
              <w:rPr>
                <w:sz w:val="21"/>
                <w:szCs w:val="21"/>
              </w:rPr>
              <w:t>牛羊肉片生产线、调味品加工生产线</w:t>
            </w:r>
          </w:p>
        </w:tc>
        <w:tc>
          <w:tcPr>
            <w:tcW w:w="720" w:type="pct"/>
            <w:vAlign w:val="center"/>
          </w:tcPr>
          <w:p w14:paraId="78D0ACB4">
            <w:pPr>
              <w:spacing w:line="240" w:lineRule="auto"/>
              <w:ind w:firstLine="0" w:firstLineChars="0"/>
              <w:rPr>
                <w:sz w:val="21"/>
                <w:szCs w:val="21"/>
              </w:rPr>
            </w:pPr>
            <w:r>
              <w:rPr>
                <w:sz w:val="21"/>
                <w:szCs w:val="21"/>
              </w:rPr>
              <w:t>食品制造业</w:t>
            </w:r>
          </w:p>
        </w:tc>
      </w:tr>
      <w:tr w14:paraId="31B7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restart"/>
            <w:vAlign w:val="center"/>
          </w:tcPr>
          <w:p w14:paraId="6C15E04C">
            <w:pPr>
              <w:spacing w:line="240" w:lineRule="auto"/>
              <w:ind w:firstLine="0" w:firstLineChars="0"/>
              <w:rPr>
                <w:sz w:val="21"/>
                <w:szCs w:val="21"/>
              </w:rPr>
            </w:pPr>
            <w:r>
              <w:rPr>
                <w:sz w:val="21"/>
                <w:szCs w:val="21"/>
              </w:rPr>
              <w:t>7</w:t>
            </w:r>
          </w:p>
        </w:tc>
        <w:tc>
          <w:tcPr>
            <w:tcW w:w="856" w:type="pct"/>
            <w:vMerge w:val="restart"/>
            <w:vAlign w:val="center"/>
          </w:tcPr>
          <w:p w14:paraId="70CDDA41">
            <w:pPr>
              <w:spacing w:line="240" w:lineRule="auto"/>
              <w:ind w:firstLine="0" w:firstLineChars="0"/>
              <w:rPr>
                <w:sz w:val="21"/>
                <w:szCs w:val="21"/>
              </w:rPr>
            </w:pPr>
            <w:r>
              <w:rPr>
                <w:sz w:val="21"/>
                <w:szCs w:val="21"/>
              </w:rPr>
              <w:t>内蒙古华新机械有限公司</w:t>
            </w:r>
          </w:p>
        </w:tc>
        <w:tc>
          <w:tcPr>
            <w:tcW w:w="1388" w:type="pct"/>
            <w:vAlign w:val="center"/>
          </w:tcPr>
          <w:p w14:paraId="30CB7914">
            <w:pPr>
              <w:spacing w:line="240" w:lineRule="auto"/>
              <w:ind w:firstLine="0" w:firstLineChars="0"/>
              <w:rPr>
                <w:sz w:val="21"/>
                <w:szCs w:val="21"/>
              </w:rPr>
            </w:pPr>
            <w:r>
              <w:rPr>
                <w:sz w:val="21"/>
                <w:szCs w:val="21"/>
              </w:rPr>
              <w:t>年产汽车覆盖件2万套、承力钢板4万块、连接板2万块、雨刷器支架4万只、消声器支架2万只、尾灯支架4万只</w:t>
            </w:r>
          </w:p>
        </w:tc>
        <w:tc>
          <w:tcPr>
            <w:tcW w:w="1388" w:type="pct"/>
            <w:vAlign w:val="center"/>
          </w:tcPr>
          <w:p w14:paraId="52DC874D">
            <w:pPr>
              <w:spacing w:line="240" w:lineRule="auto"/>
              <w:ind w:firstLine="0" w:firstLineChars="0"/>
              <w:rPr>
                <w:sz w:val="21"/>
                <w:szCs w:val="21"/>
              </w:rPr>
            </w:pPr>
            <w:r>
              <w:rPr>
                <w:sz w:val="21"/>
                <w:szCs w:val="21"/>
              </w:rPr>
              <w:t>喷漆、抛丸</w:t>
            </w:r>
          </w:p>
        </w:tc>
        <w:tc>
          <w:tcPr>
            <w:tcW w:w="720" w:type="pct"/>
            <w:vMerge w:val="restart"/>
            <w:vAlign w:val="center"/>
          </w:tcPr>
          <w:p w14:paraId="73429A5D">
            <w:pPr>
              <w:spacing w:line="240" w:lineRule="auto"/>
              <w:ind w:firstLine="0" w:firstLineChars="0"/>
              <w:rPr>
                <w:sz w:val="21"/>
                <w:szCs w:val="21"/>
              </w:rPr>
            </w:pPr>
            <w:r>
              <w:rPr>
                <w:sz w:val="21"/>
                <w:szCs w:val="21"/>
              </w:rPr>
              <w:t>汽车制造业</w:t>
            </w:r>
          </w:p>
        </w:tc>
      </w:tr>
      <w:tr w14:paraId="7A0E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Merge w:val="continue"/>
            <w:vAlign w:val="center"/>
          </w:tcPr>
          <w:p w14:paraId="6987E022">
            <w:pPr>
              <w:widowControl/>
              <w:spacing w:line="240" w:lineRule="auto"/>
              <w:ind w:firstLine="0" w:firstLineChars="0"/>
              <w:jc w:val="left"/>
              <w:rPr>
                <w:rFonts w:eastAsia="等线"/>
                <w:sz w:val="21"/>
                <w:szCs w:val="21"/>
              </w:rPr>
            </w:pPr>
          </w:p>
        </w:tc>
        <w:tc>
          <w:tcPr>
            <w:tcW w:w="856" w:type="pct"/>
            <w:vMerge w:val="continue"/>
            <w:vAlign w:val="center"/>
          </w:tcPr>
          <w:p w14:paraId="36A81F3F">
            <w:pPr>
              <w:widowControl/>
              <w:spacing w:line="240" w:lineRule="auto"/>
              <w:ind w:firstLine="0" w:firstLineChars="0"/>
              <w:jc w:val="left"/>
              <w:rPr>
                <w:rFonts w:eastAsia="等线"/>
                <w:sz w:val="21"/>
                <w:szCs w:val="21"/>
              </w:rPr>
            </w:pPr>
          </w:p>
        </w:tc>
        <w:tc>
          <w:tcPr>
            <w:tcW w:w="1388" w:type="pct"/>
            <w:vAlign w:val="center"/>
          </w:tcPr>
          <w:p w14:paraId="5CA143B5">
            <w:pPr>
              <w:spacing w:line="240" w:lineRule="auto"/>
              <w:ind w:firstLine="0" w:firstLineChars="0"/>
              <w:rPr>
                <w:sz w:val="21"/>
                <w:szCs w:val="21"/>
              </w:rPr>
            </w:pPr>
            <w:r>
              <w:rPr>
                <w:sz w:val="21"/>
                <w:szCs w:val="21"/>
              </w:rPr>
              <w:t>年生产北奔重卡大梁10万台（套）</w:t>
            </w:r>
          </w:p>
        </w:tc>
        <w:tc>
          <w:tcPr>
            <w:tcW w:w="1388" w:type="pct"/>
            <w:vAlign w:val="center"/>
          </w:tcPr>
          <w:p w14:paraId="38178388">
            <w:pPr>
              <w:spacing w:line="240" w:lineRule="auto"/>
              <w:ind w:firstLine="0" w:firstLineChars="0"/>
              <w:rPr>
                <w:sz w:val="21"/>
                <w:szCs w:val="21"/>
              </w:rPr>
            </w:pPr>
            <w:r>
              <w:rPr>
                <w:sz w:val="21"/>
                <w:szCs w:val="21"/>
              </w:rPr>
              <w:t>以钢板为原料，经剪切、折弯成成品，无喷漆</w:t>
            </w:r>
          </w:p>
        </w:tc>
        <w:tc>
          <w:tcPr>
            <w:tcW w:w="720" w:type="pct"/>
            <w:vMerge w:val="continue"/>
            <w:vAlign w:val="center"/>
          </w:tcPr>
          <w:p w14:paraId="7006733E">
            <w:pPr>
              <w:widowControl/>
              <w:spacing w:line="240" w:lineRule="auto"/>
              <w:ind w:firstLine="0" w:firstLineChars="0"/>
              <w:jc w:val="left"/>
              <w:rPr>
                <w:rFonts w:eastAsia="等线"/>
                <w:sz w:val="21"/>
                <w:szCs w:val="21"/>
              </w:rPr>
            </w:pPr>
          </w:p>
        </w:tc>
      </w:tr>
      <w:tr w14:paraId="4B69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08758E0">
            <w:pPr>
              <w:spacing w:line="240" w:lineRule="auto"/>
              <w:ind w:firstLine="0" w:firstLineChars="0"/>
              <w:rPr>
                <w:sz w:val="21"/>
                <w:szCs w:val="21"/>
              </w:rPr>
            </w:pPr>
            <w:r>
              <w:rPr>
                <w:sz w:val="21"/>
                <w:szCs w:val="21"/>
              </w:rPr>
              <w:t>8</w:t>
            </w:r>
          </w:p>
        </w:tc>
        <w:tc>
          <w:tcPr>
            <w:tcW w:w="856" w:type="pct"/>
            <w:vAlign w:val="center"/>
          </w:tcPr>
          <w:p w14:paraId="458121DD">
            <w:pPr>
              <w:spacing w:line="240" w:lineRule="auto"/>
              <w:ind w:firstLine="0" w:firstLineChars="0"/>
              <w:rPr>
                <w:sz w:val="21"/>
                <w:szCs w:val="21"/>
              </w:rPr>
            </w:pPr>
            <w:r>
              <w:rPr>
                <w:sz w:val="21"/>
                <w:szCs w:val="21"/>
              </w:rPr>
              <w:t>内蒙古联众工程机械有限公司</w:t>
            </w:r>
          </w:p>
        </w:tc>
        <w:tc>
          <w:tcPr>
            <w:tcW w:w="1388" w:type="pct"/>
            <w:vAlign w:val="center"/>
          </w:tcPr>
          <w:p w14:paraId="0B20993B">
            <w:pPr>
              <w:spacing w:line="240" w:lineRule="auto"/>
              <w:ind w:firstLine="0" w:firstLineChars="0"/>
              <w:rPr>
                <w:sz w:val="21"/>
                <w:szCs w:val="21"/>
              </w:rPr>
            </w:pPr>
            <w:r>
              <w:rPr>
                <w:sz w:val="21"/>
                <w:szCs w:val="21"/>
              </w:rPr>
              <w:t>徐工挖掘机维修、再制造项目</w:t>
            </w:r>
          </w:p>
        </w:tc>
        <w:tc>
          <w:tcPr>
            <w:tcW w:w="1388" w:type="pct"/>
            <w:vAlign w:val="center"/>
          </w:tcPr>
          <w:p w14:paraId="03ADB9C1">
            <w:pPr>
              <w:spacing w:line="240" w:lineRule="auto"/>
              <w:ind w:firstLine="0" w:firstLineChars="0"/>
              <w:rPr>
                <w:sz w:val="21"/>
                <w:szCs w:val="21"/>
              </w:rPr>
            </w:pPr>
          </w:p>
        </w:tc>
        <w:tc>
          <w:tcPr>
            <w:tcW w:w="720" w:type="pct"/>
            <w:vAlign w:val="center"/>
          </w:tcPr>
          <w:p w14:paraId="44C06450">
            <w:pPr>
              <w:spacing w:line="240" w:lineRule="auto"/>
              <w:ind w:firstLine="0" w:firstLineChars="0"/>
              <w:rPr>
                <w:sz w:val="21"/>
                <w:szCs w:val="21"/>
              </w:rPr>
            </w:pPr>
            <w:r>
              <w:rPr>
                <w:sz w:val="21"/>
                <w:szCs w:val="21"/>
              </w:rPr>
              <w:t>专用设备制造业</w:t>
            </w:r>
          </w:p>
        </w:tc>
      </w:tr>
      <w:tr w14:paraId="3425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8C8B8F2">
            <w:pPr>
              <w:spacing w:line="240" w:lineRule="auto"/>
              <w:ind w:firstLine="0" w:firstLineChars="0"/>
              <w:rPr>
                <w:sz w:val="21"/>
                <w:szCs w:val="21"/>
              </w:rPr>
            </w:pPr>
            <w:r>
              <w:rPr>
                <w:sz w:val="21"/>
                <w:szCs w:val="21"/>
              </w:rPr>
              <w:t>9</w:t>
            </w:r>
          </w:p>
        </w:tc>
        <w:tc>
          <w:tcPr>
            <w:tcW w:w="856" w:type="pct"/>
            <w:vAlign w:val="center"/>
          </w:tcPr>
          <w:p w14:paraId="1CC332C9">
            <w:pPr>
              <w:spacing w:line="240" w:lineRule="auto"/>
              <w:ind w:firstLine="0" w:firstLineChars="0"/>
              <w:rPr>
                <w:sz w:val="21"/>
                <w:szCs w:val="21"/>
              </w:rPr>
            </w:pPr>
            <w:r>
              <w:rPr>
                <w:sz w:val="21"/>
                <w:szCs w:val="21"/>
              </w:rPr>
              <w:t>包头市祥盛建筑机械有限公司</w:t>
            </w:r>
          </w:p>
        </w:tc>
        <w:tc>
          <w:tcPr>
            <w:tcW w:w="1388" w:type="pct"/>
            <w:vAlign w:val="center"/>
          </w:tcPr>
          <w:p w14:paraId="009D6062">
            <w:pPr>
              <w:spacing w:line="240" w:lineRule="auto"/>
              <w:ind w:firstLine="0" w:firstLineChars="0"/>
              <w:rPr>
                <w:sz w:val="21"/>
                <w:szCs w:val="21"/>
              </w:rPr>
            </w:pPr>
            <w:r>
              <w:rPr>
                <w:sz w:val="21"/>
                <w:szCs w:val="21"/>
              </w:rPr>
              <w:t>年产 2000 吨智能导轨式附着升降脚手架</w:t>
            </w:r>
          </w:p>
        </w:tc>
        <w:tc>
          <w:tcPr>
            <w:tcW w:w="1388" w:type="pct"/>
            <w:vAlign w:val="center"/>
          </w:tcPr>
          <w:p w14:paraId="2193052F">
            <w:pPr>
              <w:spacing w:line="240" w:lineRule="auto"/>
              <w:ind w:firstLine="0" w:firstLineChars="0"/>
              <w:rPr>
                <w:sz w:val="21"/>
                <w:szCs w:val="21"/>
              </w:rPr>
            </w:pPr>
            <w:r>
              <w:rPr>
                <w:sz w:val="21"/>
                <w:szCs w:val="21"/>
              </w:rPr>
              <w:t>切割、打孔、焊接</w:t>
            </w:r>
          </w:p>
        </w:tc>
        <w:tc>
          <w:tcPr>
            <w:tcW w:w="720" w:type="pct"/>
            <w:vAlign w:val="center"/>
          </w:tcPr>
          <w:p w14:paraId="5B3CD1B2">
            <w:pPr>
              <w:spacing w:line="240" w:lineRule="auto"/>
              <w:ind w:firstLine="0" w:firstLineChars="0"/>
              <w:rPr>
                <w:sz w:val="21"/>
                <w:szCs w:val="21"/>
              </w:rPr>
            </w:pPr>
            <w:r>
              <w:rPr>
                <w:sz w:val="21"/>
                <w:szCs w:val="21"/>
              </w:rPr>
              <w:t>金属制品业</w:t>
            </w:r>
          </w:p>
        </w:tc>
      </w:tr>
      <w:tr w14:paraId="2373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00E6154">
            <w:pPr>
              <w:spacing w:line="240" w:lineRule="auto"/>
              <w:ind w:firstLine="0" w:firstLineChars="0"/>
              <w:rPr>
                <w:sz w:val="21"/>
                <w:szCs w:val="21"/>
              </w:rPr>
            </w:pPr>
            <w:r>
              <w:rPr>
                <w:sz w:val="21"/>
                <w:szCs w:val="21"/>
              </w:rPr>
              <w:t>10</w:t>
            </w:r>
          </w:p>
        </w:tc>
        <w:tc>
          <w:tcPr>
            <w:tcW w:w="856" w:type="pct"/>
            <w:vAlign w:val="center"/>
          </w:tcPr>
          <w:p w14:paraId="1EB68D73">
            <w:pPr>
              <w:spacing w:line="240" w:lineRule="auto"/>
              <w:ind w:firstLine="0" w:firstLineChars="0"/>
              <w:rPr>
                <w:sz w:val="21"/>
                <w:szCs w:val="21"/>
              </w:rPr>
            </w:pPr>
            <w:r>
              <w:rPr>
                <w:sz w:val="21"/>
                <w:szCs w:val="21"/>
              </w:rPr>
              <w:t>包头市泰鑫工贸有限责任公司</w:t>
            </w:r>
          </w:p>
        </w:tc>
        <w:tc>
          <w:tcPr>
            <w:tcW w:w="1388" w:type="pct"/>
            <w:vAlign w:val="center"/>
          </w:tcPr>
          <w:p w14:paraId="36CCB38A">
            <w:pPr>
              <w:spacing w:line="240" w:lineRule="auto"/>
              <w:ind w:firstLine="0" w:firstLineChars="0"/>
              <w:rPr>
                <w:sz w:val="21"/>
                <w:szCs w:val="21"/>
              </w:rPr>
            </w:pPr>
            <w:r>
              <w:rPr>
                <w:sz w:val="21"/>
                <w:szCs w:val="21"/>
              </w:rPr>
              <w:t>年产汽车配套支承座6万件、铁路车辆缓冲器10万套、液压支架600套</w:t>
            </w:r>
          </w:p>
        </w:tc>
        <w:tc>
          <w:tcPr>
            <w:tcW w:w="1388" w:type="pct"/>
            <w:vAlign w:val="center"/>
          </w:tcPr>
          <w:p w14:paraId="0435556D">
            <w:pPr>
              <w:spacing w:line="240" w:lineRule="auto"/>
              <w:ind w:firstLine="0" w:firstLineChars="0"/>
              <w:rPr>
                <w:sz w:val="21"/>
                <w:szCs w:val="21"/>
              </w:rPr>
            </w:pPr>
            <w:r>
              <w:rPr>
                <w:sz w:val="21"/>
                <w:szCs w:val="21"/>
              </w:rPr>
              <w:t>车床、铣床、刨床切割机等焊接</w:t>
            </w:r>
          </w:p>
        </w:tc>
        <w:tc>
          <w:tcPr>
            <w:tcW w:w="720" w:type="pct"/>
            <w:vAlign w:val="center"/>
          </w:tcPr>
          <w:p w14:paraId="17D34C2E">
            <w:pPr>
              <w:spacing w:line="240" w:lineRule="auto"/>
              <w:ind w:firstLine="0" w:firstLineChars="0"/>
              <w:rPr>
                <w:sz w:val="21"/>
                <w:szCs w:val="21"/>
              </w:rPr>
            </w:pPr>
            <w:r>
              <w:rPr>
                <w:sz w:val="21"/>
                <w:szCs w:val="21"/>
              </w:rPr>
              <w:t>金属制品业</w:t>
            </w:r>
          </w:p>
        </w:tc>
      </w:tr>
      <w:tr w14:paraId="6B52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1DBDFF7">
            <w:pPr>
              <w:spacing w:line="240" w:lineRule="auto"/>
              <w:ind w:firstLine="0" w:firstLineChars="0"/>
              <w:rPr>
                <w:sz w:val="21"/>
                <w:szCs w:val="21"/>
              </w:rPr>
            </w:pPr>
            <w:r>
              <w:rPr>
                <w:sz w:val="21"/>
                <w:szCs w:val="21"/>
              </w:rPr>
              <w:t>11</w:t>
            </w:r>
          </w:p>
        </w:tc>
        <w:tc>
          <w:tcPr>
            <w:tcW w:w="856" w:type="pct"/>
            <w:vAlign w:val="center"/>
          </w:tcPr>
          <w:p w14:paraId="05DD5ED9">
            <w:pPr>
              <w:spacing w:line="240" w:lineRule="auto"/>
              <w:ind w:firstLine="0" w:firstLineChars="0"/>
              <w:rPr>
                <w:sz w:val="21"/>
                <w:szCs w:val="21"/>
              </w:rPr>
            </w:pPr>
            <w:r>
              <w:rPr>
                <w:sz w:val="21"/>
                <w:szCs w:val="21"/>
              </w:rPr>
              <w:t>内蒙古晟高科技有限公司</w:t>
            </w:r>
          </w:p>
        </w:tc>
        <w:tc>
          <w:tcPr>
            <w:tcW w:w="1388" w:type="pct"/>
            <w:vAlign w:val="center"/>
          </w:tcPr>
          <w:p w14:paraId="4E8E07F5">
            <w:pPr>
              <w:spacing w:line="240" w:lineRule="auto"/>
              <w:ind w:firstLine="0" w:firstLineChars="0"/>
              <w:rPr>
                <w:sz w:val="21"/>
                <w:szCs w:val="21"/>
              </w:rPr>
            </w:pPr>
            <w:r>
              <w:rPr>
                <w:sz w:val="21"/>
                <w:szCs w:val="21"/>
              </w:rPr>
              <w:t>年检测3万瓶无缝气瓶</w:t>
            </w:r>
          </w:p>
        </w:tc>
        <w:tc>
          <w:tcPr>
            <w:tcW w:w="1388" w:type="pct"/>
            <w:vAlign w:val="center"/>
          </w:tcPr>
          <w:p w14:paraId="28D8D498">
            <w:pPr>
              <w:spacing w:line="240" w:lineRule="auto"/>
              <w:ind w:firstLine="0" w:firstLineChars="0"/>
              <w:rPr>
                <w:sz w:val="21"/>
                <w:szCs w:val="21"/>
              </w:rPr>
            </w:pPr>
            <w:r>
              <w:rPr>
                <w:sz w:val="21"/>
                <w:szCs w:val="21"/>
              </w:rPr>
              <w:t>智能高压无缝气瓶检测线</w:t>
            </w:r>
          </w:p>
        </w:tc>
        <w:tc>
          <w:tcPr>
            <w:tcW w:w="720" w:type="pct"/>
            <w:vAlign w:val="center"/>
          </w:tcPr>
          <w:p w14:paraId="6F8B0A08">
            <w:pPr>
              <w:spacing w:line="240" w:lineRule="auto"/>
              <w:ind w:firstLine="0" w:firstLineChars="0"/>
              <w:rPr>
                <w:sz w:val="21"/>
                <w:szCs w:val="21"/>
              </w:rPr>
            </w:pPr>
            <w:r>
              <w:rPr>
                <w:sz w:val="21"/>
                <w:szCs w:val="21"/>
              </w:rPr>
              <w:t>金属制品业</w:t>
            </w:r>
          </w:p>
        </w:tc>
      </w:tr>
      <w:tr w14:paraId="6C4E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B1F8011">
            <w:pPr>
              <w:spacing w:line="240" w:lineRule="auto"/>
              <w:ind w:firstLine="0" w:firstLineChars="0"/>
              <w:rPr>
                <w:sz w:val="21"/>
                <w:szCs w:val="21"/>
              </w:rPr>
            </w:pPr>
            <w:r>
              <w:rPr>
                <w:sz w:val="21"/>
                <w:szCs w:val="21"/>
              </w:rPr>
              <w:t>12</w:t>
            </w:r>
          </w:p>
        </w:tc>
        <w:tc>
          <w:tcPr>
            <w:tcW w:w="856" w:type="pct"/>
            <w:vAlign w:val="center"/>
          </w:tcPr>
          <w:p w14:paraId="1EBDE4E0">
            <w:pPr>
              <w:spacing w:line="240" w:lineRule="auto"/>
              <w:ind w:firstLine="0" w:firstLineChars="0"/>
              <w:rPr>
                <w:sz w:val="21"/>
                <w:szCs w:val="21"/>
              </w:rPr>
            </w:pPr>
            <w:r>
              <w:rPr>
                <w:sz w:val="21"/>
                <w:szCs w:val="21"/>
              </w:rPr>
              <w:t>包头市鹿灵机械有限责任公司</w:t>
            </w:r>
          </w:p>
        </w:tc>
        <w:tc>
          <w:tcPr>
            <w:tcW w:w="1388" w:type="pct"/>
            <w:vAlign w:val="center"/>
          </w:tcPr>
          <w:p w14:paraId="0974A85E">
            <w:pPr>
              <w:spacing w:line="240" w:lineRule="auto"/>
              <w:ind w:firstLine="0" w:firstLineChars="0"/>
              <w:rPr>
                <w:sz w:val="21"/>
                <w:szCs w:val="21"/>
              </w:rPr>
            </w:pPr>
            <w:r>
              <w:rPr>
                <w:sz w:val="21"/>
                <w:szCs w:val="21"/>
              </w:rPr>
              <w:t>年产北奔重型汽车各种支撑梁、发动机托架、驾驶室卧铺座椅等零部件4万套</w:t>
            </w:r>
          </w:p>
        </w:tc>
        <w:tc>
          <w:tcPr>
            <w:tcW w:w="1388" w:type="pct"/>
            <w:vAlign w:val="center"/>
          </w:tcPr>
          <w:p w14:paraId="29774E43">
            <w:pPr>
              <w:spacing w:line="240" w:lineRule="auto"/>
              <w:ind w:firstLine="0" w:firstLineChars="0"/>
              <w:rPr>
                <w:sz w:val="21"/>
                <w:szCs w:val="21"/>
              </w:rPr>
            </w:pPr>
            <w:r>
              <w:rPr>
                <w:sz w:val="21"/>
                <w:szCs w:val="21"/>
              </w:rPr>
              <w:t>钻床、车床、铣床、冲床等，包括焊接、抛丸、喷塑工序</w:t>
            </w:r>
          </w:p>
        </w:tc>
        <w:tc>
          <w:tcPr>
            <w:tcW w:w="720" w:type="pct"/>
            <w:vAlign w:val="center"/>
          </w:tcPr>
          <w:p w14:paraId="407F4094">
            <w:pPr>
              <w:spacing w:line="240" w:lineRule="auto"/>
              <w:ind w:firstLine="0" w:firstLineChars="0"/>
              <w:rPr>
                <w:sz w:val="21"/>
                <w:szCs w:val="21"/>
              </w:rPr>
            </w:pPr>
            <w:r>
              <w:rPr>
                <w:sz w:val="21"/>
                <w:szCs w:val="21"/>
              </w:rPr>
              <w:t>汽车制造业</w:t>
            </w:r>
          </w:p>
        </w:tc>
      </w:tr>
      <w:tr w14:paraId="7B53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B0C39E9">
            <w:pPr>
              <w:spacing w:line="240" w:lineRule="auto"/>
              <w:ind w:firstLine="0" w:firstLineChars="0"/>
              <w:rPr>
                <w:sz w:val="21"/>
                <w:szCs w:val="21"/>
              </w:rPr>
            </w:pPr>
            <w:r>
              <w:rPr>
                <w:sz w:val="21"/>
                <w:szCs w:val="21"/>
              </w:rPr>
              <w:t>13</w:t>
            </w:r>
          </w:p>
        </w:tc>
        <w:tc>
          <w:tcPr>
            <w:tcW w:w="856" w:type="pct"/>
            <w:vAlign w:val="center"/>
          </w:tcPr>
          <w:p w14:paraId="49BAD55C">
            <w:pPr>
              <w:spacing w:line="240" w:lineRule="auto"/>
              <w:ind w:firstLine="0" w:firstLineChars="0"/>
              <w:rPr>
                <w:sz w:val="21"/>
                <w:szCs w:val="21"/>
              </w:rPr>
            </w:pPr>
            <w:r>
              <w:rPr>
                <w:sz w:val="21"/>
                <w:szCs w:val="21"/>
              </w:rPr>
              <w:t>包头市德泰汇塑业有限公司</w:t>
            </w:r>
          </w:p>
        </w:tc>
        <w:tc>
          <w:tcPr>
            <w:tcW w:w="1388" w:type="pct"/>
            <w:vAlign w:val="center"/>
          </w:tcPr>
          <w:p w14:paraId="1EF0DCC6">
            <w:pPr>
              <w:spacing w:line="240" w:lineRule="auto"/>
              <w:ind w:firstLine="0" w:firstLineChars="0"/>
              <w:rPr>
                <w:sz w:val="21"/>
                <w:szCs w:val="21"/>
              </w:rPr>
            </w:pPr>
            <w:r>
              <w:rPr>
                <w:sz w:val="21"/>
                <w:szCs w:val="21"/>
              </w:rPr>
              <w:t>年产模具300套、塑料制品10亿套</w:t>
            </w:r>
          </w:p>
        </w:tc>
        <w:tc>
          <w:tcPr>
            <w:tcW w:w="1388" w:type="pct"/>
            <w:vAlign w:val="center"/>
          </w:tcPr>
          <w:p w14:paraId="73B0B1A5">
            <w:pPr>
              <w:spacing w:line="240" w:lineRule="auto"/>
              <w:ind w:firstLine="0" w:firstLineChars="0"/>
              <w:rPr>
                <w:sz w:val="21"/>
                <w:szCs w:val="21"/>
              </w:rPr>
            </w:pPr>
            <w:r>
              <w:rPr>
                <w:sz w:val="21"/>
                <w:szCs w:val="21"/>
              </w:rPr>
              <w:t>塑料瓶/桶和提手以外购的聚乙烯颗粒为原料经注塑/吹塑后即成成品，外购钢板加工后即成模具制品</w:t>
            </w:r>
          </w:p>
        </w:tc>
        <w:tc>
          <w:tcPr>
            <w:tcW w:w="720" w:type="pct"/>
            <w:vAlign w:val="center"/>
          </w:tcPr>
          <w:p w14:paraId="3B2AC4BE">
            <w:pPr>
              <w:spacing w:line="240" w:lineRule="auto"/>
              <w:ind w:firstLine="0" w:firstLineChars="0"/>
              <w:rPr>
                <w:sz w:val="21"/>
                <w:szCs w:val="21"/>
              </w:rPr>
            </w:pPr>
            <w:r>
              <w:rPr>
                <w:sz w:val="21"/>
                <w:szCs w:val="21"/>
              </w:rPr>
              <w:t>橡胶和塑料制品业</w:t>
            </w:r>
          </w:p>
        </w:tc>
      </w:tr>
      <w:tr w14:paraId="2CB8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522E565">
            <w:pPr>
              <w:spacing w:line="240" w:lineRule="auto"/>
              <w:ind w:firstLine="0" w:firstLineChars="0"/>
              <w:rPr>
                <w:sz w:val="21"/>
                <w:szCs w:val="21"/>
              </w:rPr>
            </w:pPr>
            <w:r>
              <w:rPr>
                <w:sz w:val="21"/>
                <w:szCs w:val="21"/>
              </w:rPr>
              <w:t>14</w:t>
            </w:r>
          </w:p>
        </w:tc>
        <w:tc>
          <w:tcPr>
            <w:tcW w:w="856" w:type="pct"/>
            <w:vAlign w:val="center"/>
          </w:tcPr>
          <w:p w14:paraId="7087CAD6">
            <w:pPr>
              <w:spacing w:line="240" w:lineRule="auto"/>
              <w:ind w:firstLine="0" w:firstLineChars="0"/>
              <w:rPr>
                <w:sz w:val="21"/>
                <w:szCs w:val="21"/>
              </w:rPr>
            </w:pPr>
            <w:r>
              <w:rPr>
                <w:sz w:val="21"/>
                <w:szCs w:val="21"/>
              </w:rPr>
              <w:t>包头市大成机电设备有限责任公司</w:t>
            </w:r>
          </w:p>
        </w:tc>
        <w:tc>
          <w:tcPr>
            <w:tcW w:w="1388" w:type="pct"/>
            <w:vAlign w:val="center"/>
          </w:tcPr>
          <w:p w14:paraId="70C7BBA8">
            <w:pPr>
              <w:spacing w:line="240" w:lineRule="auto"/>
              <w:ind w:firstLine="0" w:firstLineChars="0"/>
              <w:rPr>
                <w:sz w:val="21"/>
                <w:szCs w:val="21"/>
              </w:rPr>
            </w:pPr>
            <w:r>
              <w:rPr>
                <w:sz w:val="21"/>
                <w:szCs w:val="21"/>
              </w:rPr>
              <w:t>年产汽车车架横梁2.5万套、角撑5万件、驾驶室后支撑总成1.8万套、锁止机构3万套、空气滤芯5千套、电瓶托架及总成2.5万套、刹车汽缸4万套</w:t>
            </w:r>
          </w:p>
        </w:tc>
        <w:tc>
          <w:tcPr>
            <w:tcW w:w="1388" w:type="pct"/>
            <w:vAlign w:val="center"/>
          </w:tcPr>
          <w:p w14:paraId="54A11B8D">
            <w:pPr>
              <w:spacing w:line="240" w:lineRule="auto"/>
              <w:ind w:firstLine="0" w:firstLineChars="0"/>
              <w:rPr>
                <w:sz w:val="21"/>
                <w:szCs w:val="21"/>
              </w:rPr>
            </w:pPr>
            <w:r>
              <w:rPr>
                <w:sz w:val="21"/>
                <w:szCs w:val="21"/>
              </w:rPr>
              <w:t>以钢材为原料，经过机械加工即成产品，无喷漆工艺。</w:t>
            </w:r>
          </w:p>
        </w:tc>
        <w:tc>
          <w:tcPr>
            <w:tcW w:w="720" w:type="pct"/>
            <w:vAlign w:val="center"/>
          </w:tcPr>
          <w:p w14:paraId="25E34B31">
            <w:pPr>
              <w:spacing w:line="240" w:lineRule="auto"/>
              <w:ind w:firstLine="0" w:firstLineChars="0"/>
              <w:rPr>
                <w:sz w:val="21"/>
                <w:szCs w:val="21"/>
              </w:rPr>
            </w:pPr>
            <w:r>
              <w:rPr>
                <w:sz w:val="21"/>
                <w:szCs w:val="21"/>
              </w:rPr>
              <w:t>汽车制造业</w:t>
            </w:r>
          </w:p>
        </w:tc>
      </w:tr>
      <w:tr w14:paraId="3A75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F67730D">
            <w:pPr>
              <w:spacing w:line="240" w:lineRule="auto"/>
              <w:ind w:firstLine="0" w:firstLineChars="0"/>
              <w:rPr>
                <w:sz w:val="21"/>
                <w:szCs w:val="21"/>
              </w:rPr>
            </w:pPr>
            <w:r>
              <w:rPr>
                <w:sz w:val="21"/>
                <w:szCs w:val="21"/>
              </w:rPr>
              <w:t>15</w:t>
            </w:r>
          </w:p>
        </w:tc>
        <w:tc>
          <w:tcPr>
            <w:tcW w:w="856" w:type="pct"/>
            <w:vAlign w:val="center"/>
          </w:tcPr>
          <w:p w14:paraId="7358C83C">
            <w:pPr>
              <w:spacing w:line="240" w:lineRule="auto"/>
              <w:ind w:firstLine="0" w:firstLineChars="0"/>
              <w:rPr>
                <w:sz w:val="21"/>
                <w:szCs w:val="21"/>
              </w:rPr>
            </w:pPr>
            <w:r>
              <w:rPr>
                <w:sz w:val="21"/>
                <w:szCs w:val="21"/>
              </w:rPr>
              <w:t>中复连众（包头）复合材料有限公司</w:t>
            </w:r>
          </w:p>
        </w:tc>
        <w:tc>
          <w:tcPr>
            <w:tcW w:w="1388" w:type="pct"/>
            <w:vAlign w:val="center"/>
          </w:tcPr>
          <w:p w14:paraId="400838A7">
            <w:pPr>
              <w:spacing w:line="240" w:lineRule="auto"/>
              <w:ind w:firstLine="0" w:firstLineChars="0"/>
              <w:rPr>
                <w:sz w:val="21"/>
                <w:szCs w:val="21"/>
              </w:rPr>
            </w:pPr>
            <w:r>
              <w:rPr>
                <w:sz w:val="21"/>
                <w:szCs w:val="21"/>
              </w:rPr>
              <w:t>年产1.5兆瓦风力机叶片350套的生产能力</w:t>
            </w:r>
          </w:p>
        </w:tc>
        <w:tc>
          <w:tcPr>
            <w:tcW w:w="1388" w:type="pct"/>
            <w:vAlign w:val="center"/>
          </w:tcPr>
          <w:p w14:paraId="12283511">
            <w:pPr>
              <w:spacing w:line="240" w:lineRule="auto"/>
              <w:ind w:firstLine="0" w:firstLineChars="0"/>
              <w:rPr>
                <w:sz w:val="21"/>
                <w:szCs w:val="21"/>
              </w:rPr>
            </w:pPr>
            <w:r>
              <w:rPr>
                <w:sz w:val="21"/>
                <w:szCs w:val="21"/>
              </w:rPr>
              <w:t>打孔、表面加工、喷漆</w:t>
            </w:r>
          </w:p>
        </w:tc>
        <w:tc>
          <w:tcPr>
            <w:tcW w:w="720" w:type="pct"/>
            <w:vAlign w:val="center"/>
          </w:tcPr>
          <w:p w14:paraId="466208D7">
            <w:pPr>
              <w:spacing w:line="240" w:lineRule="auto"/>
              <w:ind w:firstLine="0" w:firstLineChars="0"/>
              <w:rPr>
                <w:sz w:val="21"/>
                <w:szCs w:val="21"/>
              </w:rPr>
            </w:pPr>
            <w:r>
              <w:rPr>
                <w:sz w:val="21"/>
                <w:szCs w:val="21"/>
              </w:rPr>
              <w:t>通用设备制造业</w:t>
            </w:r>
          </w:p>
        </w:tc>
      </w:tr>
      <w:tr w14:paraId="12AA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145E63E">
            <w:pPr>
              <w:spacing w:line="240" w:lineRule="auto"/>
              <w:ind w:firstLine="0" w:firstLineChars="0"/>
              <w:rPr>
                <w:sz w:val="21"/>
                <w:szCs w:val="21"/>
              </w:rPr>
            </w:pPr>
            <w:r>
              <w:rPr>
                <w:sz w:val="21"/>
                <w:szCs w:val="21"/>
              </w:rPr>
              <w:t>16</w:t>
            </w:r>
          </w:p>
        </w:tc>
        <w:tc>
          <w:tcPr>
            <w:tcW w:w="856" w:type="pct"/>
            <w:vAlign w:val="center"/>
          </w:tcPr>
          <w:p w14:paraId="6655E85F">
            <w:pPr>
              <w:spacing w:line="240" w:lineRule="auto"/>
              <w:ind w:firstLine="0" w:firstLineChars="0"/>
              <w:rPr>
                <w:sz w:val="21"/>
                <w:szCs w:val="21"/>
              </w:rPr>
            </w:pPr>
            <w:r>
              <w:rPr>
                <w:sz w:val="21"/>
                <w:szCs w:val="21"/>
              </w:rPr>
              <w:t>内蒙古一机集团路通弹簧有限公司</w:t>
            </w:r>
          </w:p>
        </w:tc>
        <w:tc>
          <w:tcPr>
            <w:tcW w:w="1388" w:type="pct"/>
            <w:vAlign w:val="center"/>
          </w:tcPr>
          <w:p w14:paraId="3D65DB1E">
            <w:pPr>
              <w:spacing w:line="240" w:lineRule="auto"/>
              <w:ind w:firstLine="0" w:firstLineChars="0"/>
              <w:rPr>
                <w:sz w:val="21"/>
                <w:szCs w:val="21"/>
              </w:rPr>
            </w:pPr>
            <w:r>
              <w:rPr>
                <w:sz w:val="21"/>
                <w:szCs w:val="21"/>
              </w:rPr>
              <w:t>年产北奔重汽钢板弹簧产品3万吨</w:t>
            </w:r>
          </w:p>
        </w:tc>
        <w:tc>
          <w:tcPr>
            <w:tcW w:w="1388" w:type="pct"/>
            <w:vAlign w:val="center"/>
          </w:tcPr>
          <w:p w14:paraId="51832417">
            <w:pPr>
              <w:spacing w:line="240" w:lineRule="auto"/>
              <w:ind w:firstLine="0" w:firstLineChars="0"/>
              <w:rPr>
                <w:sz w:val="21"/>
                <w:szCs w:val="21"/>
              </w:rPr>
            </w:pPr>
            <w:r>
              <w:rPr>
                <w:sz w:val="21"/>
                <w:szCs w:val="21"/>
              </w:rPr>
              <w:t>喷丸、喷漆、加热淬火等工序</w:t>
            </w:r>
          </w:p>
        </w:tc>
        <w:tc>
          <w:tcPr>
            <w:tcW w:w="720" w:type="pct"/>
            <w:vAlign w:val="center"/>
          </w:tcPr>
          <w:p w14:paraId="4E5A5274">
            <w:pPr>
              <w:spacing w:line="240" w:lineRule="auto"/>
              <w:ind w:firstLine="0" w:firstLineChars="0"/>
              <w:rPr>
                <w:sz w:val="21"/>
                <w:szCs w:val="21"/>
              </w:rPr>
            </w:pPr>
            <w:r>
              <w:rPr>
                <w:sz w:val="21"/>
                <w:szCs w:val="21"/>
              </w:rPr>
              <w:t>汽车制造业</w:t>
            </w:r>
          </w:p>
        </w:tc>
      </w:tr>
      <w:tr w14:paraId="0840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470E3BA">
            <w:pPr>
              <w:spacing w:line="240" w:lineRule="auto"/>
              <w:ind w:firstLine="0" w:firstLineChars="0"/>
              <w:rPr>
                <w:sz w:val="21"/>
                <w:szCs w:val="21"/>
              </w:rPr>
            </w:pPr>
            <w:r>
              <w:rPr>
                <w:sz w:val="21"/>
                <w:szCs w:val="21"/>
              </w:rPr>
              <w:t>17</w:t>
            </w:r>
          </w:p>
        </w:tc>
        <w:tc>
          <w:tcPr>
            <w:tcW w:w="856" w:type="pct"/>
            <w:vAlign w:val="center"/>
          </w:tcPr>
          <w:p w14:paraId="67CD474E">
            <w:pPr>
              <w:spacing w:line="240" w:lineRule="auto"/>
              <w:ind w:firstLine="0" w:firstLineChars="0"/>
              <w:rPr>
                <w:sz w:val="21"/>
                <w:szCs w:val="21"/>
              </w:rPr>
            </w:pPr>
            <w:r>
              <w:rPr>
                <w:sz w:val="21"/>
                <w:szCs w:val="21"/>
              </w:rPr>
              <w:t>包头市久力机械制造有限公司</w:t>
            </w:r>
          </w:p>
        </w:tc>
        <w:tc>
          <w:tcPr>
            <w:tcW w:w="1388" w:type="pct"/>
            <w:vAlign w:val="center"/>
          </w:tcPr>
          <w:p w14:paraId="2F06D365">
            <w:pPr>
              <w:spacing w:line="240" w:lineRule="auto"/>
              <w:ind w:firstLine="0" w:firstLineChars="0"/>
              <w:rPr>
                <w:sz w:val="21"/>
                <w:szCs w:val="21"/>
              </w:rPr>
            </w:pPr>
            <w:r>
              <w:rPr>
                <w:sz w:val="21"/>
                <w:szCs w:val="21"/>
              </w:rPr>
              <w:t>前轮毂4万件、后轮毂6万件、弹簧座2万件、支承座1万件</w:t>
            </w:r>
          </w:p>
        </w:tc>
        <w:tc>
          <w:tcPr>
            <w:tcW w:w="1388" w:type="pct"/>
            <w:vAlign w:val="center"/>
          </w:tcPr>
          <w:p w14:paraId="4E5ABBD9">
            <w:pPr>
              <w:spacing w:line="240" w:lineRule="auto"/>
              <w:ind w:firstLine="0" w:firstLineChars="0"/>
              <w:rPr>
                <w:sz w:val="21"/>
                <w:szCs w:val="21"/>
              </w:rPr>
            </w:pPr>
            <w:r>
              <w:rPr>
                <w:sz w:val="21"/>
                <w:szCs w:val="21"/>
              </w:rPr>
              <w:t>铣床、车床、磨床钻床等</w:t>
            </w:r>
          </w:p>
        </w:tc>
        <w:tc>
          <w:tcPr>
            <w:tcW w:w="720" w:type="pct"/>
            <w:vAlign w:val="center"/>
          </w:tcPr>
          <w:p w14:paraId="59B46143">
            <w:pPr>
              <w:spacing w:line="240" w:lineRule="auto"/>
              <w:ind w:firstLine="0" w:firstLineChars="0"/>
              <w:rPr>
                <w:sz w:val="21"/>
                <w:szCs w:val="21"/>
              </w:rPr>
            </w:pPr>
            <w:r>
              <w:rPr>
                <w:sz w:val="21"/>
                <w:szCs w:val="21"/>
              </w:rPr>
              <w:t>汽车制造业</w:t>
            </w:r>
          </w:p>
        </w:tc>
      </w:tr>
      <w:tr w14:paraId="2E62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4670E98">
            <w:pPr>
              <w:spacing w:line="240" w:lineRule="auto"/>
              <w:ind w:firstLine="0" w:firstLineChars="0"/>
              <w:rPr>
                <w:sz w:val="21"/>
                <w:szCs w:val="21"/>
              </w:rPr>
            </w:pPr>
            <w:r>
              <w:rPr>
                <w:sz w:val="21"/>
                <w:szCs w:val="21"/>
              </w:rPr>
              <w:t>18</w:t>
            </w:r>
          </w:p>
        </w:tc>
        <w:tc>
          <w:tcPr>
            <w:tcW w:w="856" w:type="pct"/>
            <w:vAlign w:val="center"/>
          </w:tcPr>
          <w:p w14:paraId="2483F0A1">
            <w:pPr>
              <w:spacing w:line="240" w:lineRule="auto"/>
              <w:ind w:firstLine="0" w:firstLineChars="0"/>
              <w:rPr>
                <w:sz w:val="21"/>
                <w:szCs w:val="21"/>
              </w:rPr>
            </w:pPr>
            <w:r>
              <w:rPr>
                <w:sz w:val="21"/>
                <w:szCs w:val="21"/>
              </w:rPr>
              <w:t>内蒙古威龙集团包头腾龙专用汽车有限公司</w:t>
            </w:r>
          </w:p>
        </w:tc>
        <w:tc>
          <w:tcPr>
            <w:tcW w:w="1388" w:type="pct"/>
            <w:vAlign w:val="center"/>
          </w:tcPr>
          <w:p w14:paraId="4F19D0EF">
            <w:pPr>
              <w:spacing w:line="240" w:lineRule="auto"/>
              <w:ind w:firstLine="0" w:firstLineChars="0"/>
              <w:rPr>
                <w:sz w:val="21"/>
                <w:szCs w:val="21"/>
              </w:rPr>
            </w:pPr>
            <w:r>
              <w:rPr>
                <w:sz w:val="21"/>
                <w:szCs w:val="21"/>
              </w:rPr>
              <w:t>半挂汽车厢体、汽车整车上装厢体2000辆</w:t>
            </w:r>
          </w:p>
        </w:tc>
        <w:tc>
          <w:tcPr>
            <w:tcW w:w="1388" w:type="pct"/>
            <w:vAlign w:val="center"/>
          </w:tcPr>
          <w:p w14:paraId="25E96351">
            <w:pPr>
              <w:spacing w:line="240" w:lineRule="auto"/>
              <w:ind w:firstLine="0" w:firstLineChars="0"/>
              <w:rPr>
                <w:sz w:val="21"/>
                <w:szCs w:val="21"/>
              </w:rPr>
            </w:pPr>
            <w:r>
              <w:rPr>
                <w:sz w:val="21"/>
                <w:szCs w:val="21"/>
              </w:rPr>
              <w:t>起重机切割机喷漆烘干</w:t>
            </w:r>
          </w:p>
        </w:tc>
        <w:tc>
          <w:tcPr>
            <w:tcW w:w="720" w:type="pct"/>
            <w:vAlign w:val="center"/>
          </w:tcPr>
          <w:p w14:paraId="6783099D">
            <w:pPr>
              <w:spacing w:line="240" w:lineRule="auto"/>
              <w:ind w:firstLine="0" w:firstLineChars="0"/>
              <w:rPr>
                <w:sz w:val="21"/>
                <w:szCs w:val="21"/>
              </w:rPr>
            </w:pPr>
            <w:r>
              <w:rPr>
                <w:sz w:val="21"/>
                <w:szCs w:val="21"/>
              </w:rPr>
              <w:t>汽车制造业</w:t>
            </w:r>
          </w:p>
        </w:tc>
      </w:tr>
      <w:tr w14:paraId="574C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FFEB1A9">
            <w:pPr>
              <w:spacing w:line="240" w:lineRule="auto"/>
              <w:ind w:firstLine="0" w:firstLineChars="0"/>
              <w:rPr>
                <w:sz w:val="21"/>
                <w:szCs w:val="21"/>
              </w:rPr>
            </w:pPr>
            <w:r>
              <w:rPr>
                <w:sz w:val="21"/>
                <w:szCs w:val="21"/>
              </w:rPr>
              <w:t>19</w:t>
            </w:r>
          </w:p>
        </w:tc>
        <w:tc>
          <w:tcPr>
            <w:tcW w:w="856" w:type="pct"/>
            <w:vAlign w:val="center"/>
          </w:tcPr>
          <w:p w14:paraId="535AF543">
            <w:pPr>
              <w:spacing w:line="240" w:lineRule="auto"/>
              <w:ind w:firstLine="0" w:firstLineChars="0"/>
              <w:rPr>
                <w:sz w:val="21"/>
                <w:szCs w:val="21"/>
              </w:rPr>
            </w:pPr>
            <w:r>
              <w:rPr>
                <w:sz w:val="21"/>
                <w:szCs w:val="21"/>
              </w:rPr>
              <w:t>内蒙古中成变压器有限公司</w:t>
            </w:r>
          </w:p>
        </w:tc>
        <w:tc>
          <w:tcPr>
            <w:tcW w:w="1388" w:type="pct"/>
            <w:vAlign w:val="center"/>
          </w:tcPr>
          <w:p w14:paraId="30453CE3">
            <w:pPr>
              <w:spacing w:line="240" w:lineRule="auto"/>
              <w:ind w:firstLine="0" w:firstLineChars="0"/>
              <w:rPr>
                <w:sz w:val="21"/>
                <w:szCs w:val="21"/>
              </w:rPr>
            </w:pPr>
            <w:r>
              <w:rPr>
                <w:sz w:val="21"/>
                <w:szCs w:val="21"/>
              </w:rPr>
              <w:t>年产200台大型变压器</w:t>
            </w:r>
          </w:p>
        </w:tc>
        <w:tc>
          <w:tcPr>
            <w:tcW w:w="1388" w:type="pct"/>
            <w:vAlign w:val="center"/>
          </w:tcPr>
          <w:p w14:paraId="35942544">
            <w:pPr>
              <w:spacing w:line="240" w:lineRule="auto"/>
              <w:ind w:firstLine="0" w:firstLineChars="0"/>
              <w:rPr>
                <w:sz w:val="21"/>
                <w:szCs w:val="21"/>
              </w:rPr>
            </w:pPr>
            <w:r>
              <w:rPr>
                <w:sz w:val="21"/>
                <w:szCs w:val="21"/>
              </w:rPr>
              <w:t>铁芯制造、线圈制造、变压器壳体制造、总装</w:t>
            </w:r>
          </w:p>
        </w:tc>
        <w:tc>
          <w:tcPr>
            <w:tcW w:w="720" w:type="pct"/>
            <w:vAlign w:val="center"/>
          </w:tcPr>
          <w:p w14:paraId="6E5B9B21">
            <w:pPr>
              <w:spacing w:line="240" w:lineRule="auto"/>
              <w:ind w:firstLine="0" w:firstLineChars="0"/>
              <w:rPr>
                <w:sz w:val="21"/>
                <w:szCs w:val="21"/>
              </w:rPr>
            </w:pPr>
            <w:r>
              <w:rPr>
                <w:sz w:val="21"/>
                <w:szCs w:val="21"/>
              </w:rPr>
              <w:t>电气机械和器材制造业</w:t>
            </w:r>
          </w:p>
        </w:tc>
      </w:tr>
      <w:tr w14:paraId="29EA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48EA3D4">
            <w:pPr>
              <w:spacing w:line="240" w:lineRule="auto"/>
              <w:ind w:firstLine="0" w:firstLineChars="0"/>
              <w:rPr>
                <w:sz w:val="21"/>
                <w:szCs w:val="21"/>
              </w:rPr>
            </w:pPr>
            <w:r>
              <w:rPr>
                <w:sz w:val="21"/>
                <w:szCs w:val="21"/>
              </w:rPr>
              <w:t>20</w:t>
            </w:r>
          </w:p>
        </w:tc>
        <w:tc>
          <w:tcPr>
            <w:tcW w:w="856" w:type="pct"/>
            <w:vAlign w:val="center"/>
          </w:tcPr>
          <w:p w14:paraId="60504D2C">
            <w:pPr>
              <w:spacing w:line="240" w:lineRule="auto"/>
              <w:ind w:firstLine="0" w:firstLineChars="0"/>
              <w:rPr>
                <w:sz w:val="21"/>
                <w:szCs w:val="21"/>
              </w:rPr>
            </w:pPr>
            <w:r>
              <w:rPr>
                <w:sz w:val="21"/>
                <w:szCs w:val="21"/>
              </w:rPr>
              <w:t>包头市汇吉汽车模具有限公司</w:t>
            </w:r>
          </w:p>
        </w:tc>
        <w:tc>
          <w:tcPr>
            <w:tcW w:w="1388" w:type="pct"/>
            <w:vAlign w:val="center"/>
          </w:tcPr>
          <w:p w14:paraId="01FE7F17">
            <w:pPr>
              <w:spacing w:line="240" w:lineRule="auto"/>
              <w:ind w:firstLine="0" w:firstLineChars="0"/>
              <w:rPr>
                <w:sz w:val="21"/>
                <w:szCs w:val="21"/>
              </w:rPr>
            </w:pPr>
            <w:r>
              <w:rPr>
                <w:sz w:val="21"/>
                <w:szCs w:val="21"/>
              </w:rPr>
              <w:t>年加工冲压纵梁8万件、衬梁8万件</w:t>
            </w:r>
          </w:p>
        </w:tc>
        <w:tc>
          <w:tcPr>
            <w:tcW w:w="1388" w:type="pct"/>
            <w:vAlign w:val="center"/>
          </w:tcPr>
          <w:p w14:paraId="0B5D8D27">
            <w:pPr>
              <w:spacing w:line="240" w:lineRule="auto"/>
              <w:ind w:firstLine="0" w:firstLineChars="0"/>
              <w:rPr>
                <w:sz w:val="21"/>
                <w:szCs w:val="21"/>
              </w:rPr>
            </w:pPr>
            <w:r>
              <w:rPr>
                <w:sz w:val="21"/>
                <w:szCs w:val="21"/>
              </w:rPr>
              <w:t>以钢材为原料，经过机械加工即成产品，无喷漆</w:t>
            </w:r>
          </w:p>
        </w:tc>
        <w:tc>
          <w:tcPr>
            <w:tcW w:w="720" w:type="pct"/>
            <w:vAlign w:val="center"/>
          </w:tcPr>
          <w:p w14:paraId="534A3132">
            <w:pPr>
              <w:spacing w:line="240" w:lineRule="auto"/>
              <w:ind w:firstLine="0" w:firstLineChars="0"/>
              <w:rPr>
                <w:sz w:val="21"/>
                <w:szCs w:val="21"/>
              </w:rPr>
            </w:pPr>
            <w:r>
              <w:rPr>
                <w:sz w:val="21"/>
                <w:szCs w:val="21"/>
              </w:rPr>
              <w:t>汽车制造业</w:t>
            </w:r>
          </w:p>
        </w:tc>
      </w:tr>
      <w:tr w14:paraId="7F18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5A9D198">
            <w:pPr>
              <w:spacing w:line="240" w:lineRule="auto"/>
              <w:ind w:firstLine="0" w:firstLineChars="0"/>
              <w:rPr>
                <w:sz w:val="21"/>
                <w:szCs w:val="21"/>
              </w:rPr>
            </w:pPr>
            <w:r>
              <w:rPr>
                <w:sz w:val="21"/>
                <w:szCs w:val="21"/>
              </w:rPr>
              <w:t>21</w:t>
            </w:r>
          </w:p>
        </w:tc>
        <w:tc>
          <w:tcPr>
            <w:tcW w:w="856" w:type="pct"/>
            <w:vAlign w:val="center"/>
          </w:tcPr>
          <w:p w14:paraId="65966617">
            <w:pPr>
              <w:spacing w:line="240" w:lineRule="auto"/>
              <w:ind w:firstLine="0" w:firstLineChars="0"/>
              <w:rPr>
                <w:sz w:val="21"/>
                <w:szCs w:val="21"/>
              </w:rPr>
            </w:pPr>
            <w:r>
              <w:rPr>
                <w:sz w:val="21"/>
                <w:szCs w:val="21"/>
              </w:rPr>
              <w:t>包头市大青山机械制造有限责任公司</w:t>
            </w:r>
          </w:p>
        </w:tc>
        <w:tc>
          <w:tcPr>
            <w:tcW w:w="1388" w:type="pct"/>
            <w:vAlign w:val="center"/>
          </w:tcPr>
          <w:p w14:paraId="4609916D">
            <w:pPr>
              <w:spacing w:line="240" w:lineRule="auto"/>
              <w:ind w:firstLine="0" w:firstLineChars="0"/>
              <w:rPr>
                <w:sz w:val="21"/>
                <w:szCs w:val="21"/>
              </w:rPr>
            </w:pPr>
            <w:r>
              <w:rPr>
                <w:sz w:val="21"/>
                <w:szCs w:val="21"/>
              </w:rPr>
              <w:t>年生产煤炭、制糖设备零部件10000t,年喷涂煤炭设备零件 2000t、喷涂制糖设备零件8000t</w:t>
            </w:r>
          </w:p>
        </w:tc>
        <w:tc>
          <w:tcPr>
            <w:tcW w:w="1388" w:type="pct"/>
            <w:vAlign w:val="center"/>
          </w:tcPr>
          <w:p w14:paraId="58523C96">
            <w:pPr>
              <w:spacing w:line="240" w:lineRule="auto"/>
              <w:ind w:firstLine="0" w:firstLineChars="0"/>
              <w:rPr>
                <w:sz w:val="21"/>
                <w:szCs w:val="21"/>
              </w:rPr>
            </w:pPr>
            <w:r>
              <w:rPr>
                <w:sz w:val="21"/>
                <w:szCs w:val="21"/>
              </w:rPr>
              <w:t>钻床、车床等</w:t>
            </w:r>
          </w:p>
        </w:tc>
        <w:tc>
          <w:tcPr>
            <w:tcW w:w="720" w:type="pct"/>
            <w:vAlign w:val="center"/>
          </w:tcPr>
          <w:p w14:paraId="0729733E">
            <w:pPr>
              <w:spacing w:line="240" w:lineRule="auto"/>
              <w:ind w:firstLine="0" w:firstLineChars="0"/>
              <w:rPr>
                <w:sz w:val="21"/>
                <w:szCs w:val="21"/>
              </w:rPr>
            </w:pPr>
            <w:r>
              <w:rPr>
                <w:sz w:val="21"/>
                <w:szCs w:val="21"/>
              </w:rPr>
              <w:t>专用设备制造业</w:t>
            </w:r>
          </w:p>
        </w:tc>
      </w:tr>
      <w:tr w14:paraId="7BDE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10F747A">
            <w:pPr>
              <w:spacing w:line="240" w:lineRule="auto"/>
              <w:ind w:firstLine="0" w:firstLineChars="0"/>
              <w:rPr>
                <w:sz w:val="21"/>
                <w:szCs w:val="21"/>
              </w:rPr>
            </w:pPr>
            <w:r>
              <w:rPr>
                <w:sz w:val="21"/>
                <w:szCs w:val="21"/>
              </w:rPr>
              <w:t>22</w:t>
            </w:r>
          </w:p>
        </w:tc>
        <w:tc>
          <w:tcPr>
            <w:tcW w:w="856" w:type="pct"/>
            <w:vAlign w:val="center"/>
          </w:tcPr>
          <w:p w14:paraId="730EF820">
            <w:pPr>
              <w:spacing w:line="240" w:lineRule="auto"/>
              <w:ind w:firstLine="0" w:firstLineChars="0"/>
              <w:rPr>
                <w:sz w:val="21"/>
                <w:szCs w:val="21"/>
              </w:rPr>
            </w:pPr>
            <w:r>
              <w:rPr>
                <w:sz w:val="21"/>
                <w:szCs w:val="21"/>
              </w:rPr>
              <w:t>包头市精工机械制造有限责任公司</w:t>
            </w:r>
          </w:p>
        </w:tc>
        <w:tc>
          <w:tcPr>
            <w:tcW w:w="1388" w:type="pct"/>
            <w:vAlign w:val="center"/>
          </w:tcPr>
          <w:p w14:paraId="5782B4A5">
            <w:pPr>
              <w:spacing w:line="240" w:lineRule="auto"/>
              <w:ind w:firstLine="0" w:firstLineChars="0"/>
              <w:rPr>
                <w:sz w:val="21"/>
                <w:szCs w:val="21"/>
              </w:rPr>
            </w:pPr>
            <w:r>
              <w:rPr>
                <w:sz w:val="21"/>
                <w:szCs w:val="21"/>
              </w:rPr>
              <w:t>年热处理加工超高压钢管、高压锅炉管、石油钻铤、铸管模等大型特钢产品1万吨</w:t>
            </w:r>
          </w:p>
        </w:tc>
        <w:tc>
          <w:tcPr>
            <w:tcW w:w="1388" w:type="pct"/>
            <w:vAlign w:val="center"/>
          </w:tcPr>
          <w:p w14:paraId="0770709C">
            <w:pPr>
              <w:spacing w:line="240" w:lineRule="auto"/>
              <w:ind w:firstLine="0" w:firstLineChars="0"/>
              <w:rPr>
                <w:sz w:val="21"/>
                <w:szCs w:val="21"/>
              </w:rPr>
            </w:pPr>
            <w:r>
              <w:rPr>
                <w:sz w:val="21"/>
                <w:szCs w:val="21"/>
              </w:rPr>
              <w:t>钢管生产线</w:t>
            </w:r>
          </w:p>
        </w:tc>
        <w:tc>
          <w:tcPr>
            <w:tcW w:w="720" w:type="pct"/>
            <w:vAlign w:val="center"/>
          </w:tcPr>
          <w:p w14:paraId="68CA93C1">
            <w:pPr>
              <w:spacing w:line="240" w:lineRule="auto"/>
              <w:ind w:firstLine="0" w:firstLineChars="0"/>
              <w:rPr>
                <w:sz w:val="21"/>
                <w:szCs w:val="21"/>
              </w:rPr>
            </w:pPr>
            <w:r>
              <w:rPr>
                <w:sz w:val="21"/>
                <w:szCs w:val="21"/>
              </w:rPr>
              <w:t>金属制品业</w:t>
            </w:r>
          </w:p>
        </w:tc>
      </w:tr>
      <w:tr w14:paraId="3C22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A568DFA">
            <w:pPr>
              <w:spacing w:line="240" w:lineRule="auto"/>
              <w:ind w:firstLine="0" w:firstLineChars="0"/>
              <w:rPr>
                <w:sz w:val="21"/>
                <w:szCs w:val="21"/>
              </w:rPr>
            </w:pPr>
            <w:r>
              <w:rPr>
                <w:sz w:val="21"/>
                <w:szCs w:val="21"/>
              </w:rPr>
              <w:t>23</w:t>
            </w:r>
          </w:p>
        </w:tc>
        <w:tc>
          <w:tcPr>
            <w:tcW w:w="856" w:type="pct"/>
            <w:vAlign w:val="center"/>
          </w:tcPr>
          <w:p w14:paraId="1A4D1F63">
            <w:pPr>
              <w:spacing w:line="240" w:lineRule="auto"/>
              <w:ind w:firstLine="0" w:firstLineChars="0"/>
              <w:rPr>
                <w:sz w:val="21"/>
                <w:szCs w:val="21"/>
              </w:rPr>
            </w:pPr>
            <w:r>
              <w:rPr>
                <w:sz w:val="21"/>
                <w:szCs w:val="21"/>
              </w:rPr>
              <w:t>内蒙古凯特重工有限公司</w:t>
            </w:r>
          </w:p>
        </w:tc>
        <w:tc>
          <w:tcPr>
            <w:tcW w:w="1388" w:type="pct"/>
            <w:vAlign w:val="center"/>
          </w:tcPr>
          <w:p w14:paraId="3EA721E2">
            <w:pPr>
              <w:spacing w:line="240" w:lineRule="auto"/>
              <w:ind w:firstLine="0" w:firstLineChars="0"/>
              <w:rPr>
                <w:sz w:val="21"/>
                <w:szCs w:val="21"/>
              </w:rPr>
            </w:pPr>
            <w:r>
              <w:rPr>
                <w:sz w:val="21"/>
                <w:szCs w:val="21"/>
              </w:rPr>
              <w:t>年产风电主机架800套、北奔车桥桥壳8万件（普通桥壳4万件、加长桥壳2.5万件、矿用桥壳1.5万件）</w:t>
            </w:r>
          </w:p>
        </w:tc>
        <w:tc>
          <w:tcPr>
            <w:tcW w:w="1388" w:type="pct"/>
            <w:vAlign w:val="center"/>
          </w:tcPr>
          <w:p w14:paraId="05F9012F">
            <w:pPr>
              <w:spacing w:line="240" w:lineRule="auto"/>
              <w:ind w:firstLine="0" w:firstLineChars="0"/>
              <w:rPr>
                <w:sz w:val="21"/>
                <w:szCs w:val="21"/>
              </w:rPr>
            </w:pPr>
            <w:bookmarkStart w:id="901" w:name="RANGE!E146"/>
            <w:r>
              <w:rPr>
                <w:sz w:val="21"/>
                <w:szCs w:val="21"/>
              </w:rPr>
              <w:t>下料、焊接、探伤、退火、喷砂、涂漆、钻孔、检验</w:t>
            </w:r>
            <w:bookmarkEnd w:id="901"/>
          </w:p>
        </w:tc>
        <w:tc>
          <w:tcPr>
            <w:tcW w:w="720" w:type="pct"/>
            <w:vAlign w:val="center"/>
          </w:tcPr>
          <w:p w14:paraId="067CAE8A">
            <w:pPr>
              <w:spacing w:line="240" w:lineRule="auto"/>
              <w:ind w:firstLine="0" w:firstLineChars="0"/>
              <w:rPr>
                <w:sz w:val="21"/>
                <w:szCs w:val="21"/>
              </w:rPr>
            </w:pPr>
            <w:r>
              <w:rPr>
                <w:sz w:val="21"/>
                <w:szCs w:val="21"/>
              </w:rPr>
              <w:t>汽车制造业</w:t>
            </w:r>
          </w:p>
        </w:tc>
      </w:tr>
      <w:tr w14:paraId="4C1F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9090B77">
            <w:pPr>
              <w:spacing w:line="240" w:lineRule="auto"/>
              <w:ind w:firstLine="0" w:firstLineChars="0"/>
              <w:rPr>
                <w:sz w:val="21"/>
                <w:szCs w:val="21"/>
              </w:rPr>
            </w:pPr>
            <w:r>
              <w:rPr>
                <w:sz w:val="21"/>
                <w:szCs w:val="21"/>
              </w:rPr>
              <w:t>24</w:t>
            </w:r>
          </w:p>
        </w:tc>
        <w:tc>
          <w:tcPr>
            <w:tcW w:w="856" w:type="pct"/>
            <w:vAlign w:val="center"/>
          </w:tcPr>
          <w:p w14:paraId="05615936">
            <w:pPr>
              <w:spacing w:line="240" w:lineRule="auto"/>
              <w:ind w:firstLine="0" w:firstLineChars="0"/>
              <w:rPr>
                <w:sz w:val="21"/>
                <w:szCs w:val="21"/>
              </w:rPr>
            </w:pPr>
            <w:r>
              <w:rPr>
                <w:sz w:val="21"/>
                <w:szCs w:val="21"/>
              </w:rPr>
              <w:t>包头市联德石油机械有限公司</w:t>
            </w:r>
          </w:p>
        </w:tc>
        <w:tc>
          <w:tcPr>
            <w:tcW w:w="1388" w:type="pct"/>
            <w:vAlign w:val="center"/>
          </w:tcPr>
          <w:p w14:paraId="23948230">
            <w:pPr>
              <w:spacing w:line="240" w:lineRule="auto"/>
              <w:ind w:firstLine="0" w:firstLineChars="0"/>
              <w:rPr>
                <w:sz w:val="21"/>
                <w:szCs w:val="21"/>
              </w:rPr>
            </w:pPr>
            <w:r>
              <w:rPr>
                <w:sz w:val="21"/>
                <w:szCs w:val="21"/>
              </w:rPr>
              <w:t>年产抽油杆、钻杆、油管3万吨</w:t>
            </w:r>
          </w:p>
        </w:tc>
        <w:tc>
          <w:tcPr>
            <w:tcW w:w="1388" w:type="pct"/>
            <w:vAlign w:val="center"/>
          </w:tcPr>
          <w:p w14:paraId="444DB12E">
            <w:pPr>
              <w:spacing w:line="240" w:lineRule="auto"/>
              <w:ind w:firstLine="0" w:firstLineChars="0"/>
              <w:rPr>
                <w:sz w:val="21"/>
                <w:szCs w:val="21"/>
              </w:rPr>
            </w:pPr>
            <w:r>
              <w:rPr>
                <w:sz w:val="21"/>
                <w:szCs w:val="21"/>
              </w:rPr>
              <w:t>抛丸、浸漆</w:t>
            </w:r>
          </w:p>
        </w:tc>
        <w:tc>
          <w:tcPr>
            <w:tcW w:w="720" w:type="pct"/>
            <w:vAlign w:val="center"/>
          </w:tcPr>
          <w:p w14:paraId="42B54A4E">
            <w:pPr>
              <w:spacing w:line="240" w:lineRule="auto"/>
              <w:ind w:firstLine="0" w:firstLineChars="0"/>
              <w:rPr>
                <w:sz w:val="21"/>
                <w:szCs w:val="21"/>
              </w:rPr>
            </w:pPr>
            <w:r>
              <w:rPr>
                <w:sz w:val="21"/>
                <w:szCs w:val="21"/>
              </w:rPr>
              <w:t>专用设备制造业</w:t>
            </w:r>
          </w:p>
        </w:tc>
      </w:tr>
      <w:tr w14:paraId="7E1A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073FAEF">
            <w:pPr>
              <w:spacing w:line="240" w:lineRule="auto"/>
              <w:ind w:firstLine="0" w:firstLineChars="0"/>
              <w:rPr>
                <w:sz w:val="21"/>
                <w:szCs w:val="21"/>
              </w:rPr>
            </w:pPr>
            <w:r>
              <w:rPr>
                <w:sz w:val="21"/>
                <w:szCs w:val="21"/>
              </w:rPr>
              <w:t>25</w:t>
            </w:r>
          </w:p>
        </w:tc>
        <w:tc>
          <w:tcPr>
            <w:tcW w:w="856" w:type="pct"/>
            <w:vAlign w:val="center"/>
          </w:tcPr>
          <w:p w14:paraId="337175E3">
            <w:pPr>
              <w:spacing w:line="240" w:lineRule="auto"/>
              <w:ind w:firstLine="0" w:firstLineChars="0"/>
              <w:rPr>
                <w:sz w:val="21"/>
                <w:szCs w:val="21"/>
              </w:rPr>
            </w:pPr>
            <w:r>
              <w:rPr>
                <w:sz w:val="21"/>
                <w:szCs w:val="21"/>
              </w:rPr>
              <w:t>包头市坚达精工机械有限责任公司</w:t>
            </w:r>
          </w:p>
        </w:tc>
        <w:tc>
          <w:tcPr>
            <w:tcW w:w="1388" w:type="pct"/>
            <w:vAlign w:val="center"/>
          </w:tcPr>
          <w:p w14:paraId="12F85E13">
            <w:pPr>
              <w:spacing w:line="240" w:lineRule="auto"/>
              <w:ind w:firstLine="0" w:firstLineChars="0"/>
              <w:rPr>
                <w:sz w:val="21"/>
                <w:szCs w:val="21"/>
              </w:rPr>
            </w:pPr>
            <w:r>
              <w:rPr>
                <w:sz w:val="21"/>
                <w:szCs w:val="21"/>
              </w:rPr>
              <w:t>年产重型汽车用支架10万件、拖钩座5万件</w:t>
            </w:r>
          </w:p>
        </w:tc>
        <w:tc>
          <w:tcPr>
            <w:tcW w:w="1388" w:type="pct"/>
            <w:vAlign w:val="center"/>
          </w:tcPr>
          <w:p w14:paraId="40BFA553">
            <w:pPr>
              <w:spacing w:line="240" w:lineRule="auto"/>
              <w:ind w:firstLine="0" w:firstLineChars="0"/>
              <w:rPr>
                <w:sz w:val="21"/>
                <w:szCs w:val="21"/>
              </w:rPr>
            </w:pPr>
            <w:r>
              <w:rPr>
                <w:sz w:val="21"/>
                <w:szCs w:val="21"/>
              </w:rPr>
              <w:t>以钢材为原料，经过机械加工即成产品，无喷漆工艺。</w:t>
            </w:r>
          </w:p>
        </w:tc>
        <w:tc>
          <w:tcPr>
            <w:tcW w:w="720" w:type="pct"/>
            <w:vAlign w:val="center"/>
          </w:tcPr>
          <w:p w14:paraId="380087C8">
            <w:pPr>
              <w:spacing w:line="240" w:lineRule="auto"/>
              <w:ind w:firstLine="0" w:firstLineChars="0"/>
              <w:rPr>
                <w:sz w:val="21"/>
                <w:szCs w:val="21"/>
              </w:rPr>
            </w:pPr>
            <w:r>
              <w:rPr>
                <w:sz w:val="21"/>
                <w:szCs w:val="21"/>
              </w:rPr>
              <w:t>汽车制造业</w:t>
            </w:r>
          </w:p>
        </w:tc>
      </w:tr>
      <w:tr w14:paraId="2F94D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A219631">
            <w:pPr>
              <w:spacing w:line="240" w:lineRule="auto"/>
              <w:ind w:firstLine="0" w:firstLineChars="0"/>
              <w:rPr>
                <w:sz w:val="21"/>
                <w:szCs w:val="21"/>
              </w:rPr>
            </w:pPr>
            <w:r>
              <w:rPr>
                <w:sz w:val="21"/>
                <w:szCs w:val="21"/>
              </w:rPr>
              <w:t>26</w:t>
            </w:r>
          </w:p>
        </w:tc>
        <w:tc>
          <w:tcPr>
            <w:tcW w:w="856" w:type="pct"/>
            <w:vAlign w:val="center"/>
          </w:tcPr>
          <w:p w14:paraId="3E7FD27D">
            <w:pPr>
              <w:spacing w:line="240" w:lineRule="auto"/>
              <w:ind w:firstLine="0" w:firstLineChars="0"/>
              <w:rPr>
                <w:sz w:val="21"/>
                <w:szCs w:val="21"/>
              </w:rPr>
            </w:pPr>
            <w:r>
              <w:rPr>
                <w:sz w:val="21"/>
                <w:szCs w:val="21"/>
              </w:rPr>
              <w:t>包头市金圣车辆配件有限责任公司</w:t>
            </w:r>
          </w:p>
        </w:tc>
        <w:tc>
          <w:tcPr>
            <w:tcW w:w="1388" w:type="pct"/>
            <w:vAlign w:val="center"/>
          </w:tcPr>
          <w:p w14:paraId="5EB996C7">
            <w:pPr>
              <w:spacing w:line="240" w:lineRule="auto"/>
              <w:ind w:firstLine="0" w:firstLineChars="0"/>
              <w:rPr>
                <w:sz w:val="21"/>
                <w:szCs w:val="21"/>
              </w:rPr>
            </w:pPr>
            <w:r>
              <w:rPr>
                <w:sz w:val="21"/>
                <w:szCs w:val="21"/>
              </w:rPr>
              <w:t>年产汽车配件翻转8000件、汽车曲轴加工产品9000件</w:t>
            </w:r>
          </w:p>
        </w:tc>
        <w:tc>
          <w:tcPr>
            <w:tcW w:w="1388" w:type="pct"/>
            <w:vAlign w:val="center"/>
          </w:tcPr>
          <w:p w14:paraId="47718D35">
            <w:pPr>
              <w:spacing w:line="240" w:lineRule="auto"/>
              <w:ind w:firstLine="0" w:firstLineChars="0"/>
              <w:rPr>
                <w:sz w:val="21"/>
                <w:szCs w:val="21"/>
              </w:rPr>
            </w:pPr>
            <w:r>
              <w:rPr>
                <w:sz w:val="21"/>
                <w:szCs w:val="21"/>
              </w:rPr>
              <w:t>钻床、铣床、磨床等</w:t>
            </w:r>
          </w:p>
        </w:tc>
        <w:tc>
          <w:tcPr>
            <w:tcW w:w="720" w:type="pct"/>
            <w:vAlign w:val="center"/>
          </w:tcPr>
          <w:p w14:paraId="24E2C594">
            <w:pPr>
              <w:spacing w:line="240" w:lineRule="auto"/>
              <w:ind w:firstLine="0" w:firstLineChars="0"/>
              <w:rPr>
                <w:sz w:val="21"/>
                <w:szCs w:val="21"/>
              </w:rPr>
            </w:pPr>
            <w:r>
              <w:rPr>
                <w:sz w:val="21"/>
                <w:szCs w:val="21"/>
              </w:rPr>
              <w:t>汽车制造业</w:t>
            </w:r>
          </w:p>
        </w:tc>
      </w:tr>
      <w:tr w14:paraId="3380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6581C3E">
            <w:pPr>
              <w:spacing w:line="240" w:lineRule="auto"/>
              <w:ind w:firstLine="0" w:firstLineChars="0"/>
              <w:rPr>
                <w:sz w:val="21"/>
                <w:szCs w:val="21"/>
              </w:rPr>
            </w:pPr>
            <w:r>
              <w:rPr>
                <w:sz w:val="21"/>
                <w:szCs w:val="21"/>
              </w:rPr>
              <w:t>27</w:t>
            </w:r>
          </w:p>
        </w:tc>
        <w:tc>
          <w:tcPr>
            <w:tcW w:w="856" w:type="pct"/>
            <w:vAlign w:val="center"/>
          </w:tcPr>
          <w:p w14:paraId="04005A65">
            <w:pPr>
              <w:spacing w:line="240" w:lineRule="auto"/>
              <w:ind w:firstLine="0" w:firstLineChars="0"/>
              <w:rPr>
                <w:sz w:val="21"/>
                <w:szCs w:val="21"/>
              </w:rPr>
            </w:pPr>
            <w:r>
              <w:rPr>
                <w:sz w:val="21"/>
                <w:szCs w:val="21"/>
              </w:rPr>
              <w:t>包头远东传动轴有限公司</w:t>
            </w:r>
          </w:p>
        </w:tc>
        <w:tc>
          <w:tcPr>
            <w:tcW w:w="1388" w:type="pct"/>
            <w:vAlign w:val="center"/>
          </w:tcPr>
          <w:p w14:paraId="41BBB1F9">
            <w:pPr>
              <w:spacing w:line="240" w:lineRule="auto"/>
              <w:ind w:firstLine="0" w:firstLineChars="0"/>
              <w:rPr>
                <w:sz w:val="21"/>
                <w:szCs w:val="21"/>
              </w:rPr>
            </w:pPr>
            <w:r>
              <w:rPr>
                <w:sz w:val="21"/>
                <w:szCs w:val="21"/>
              </w:rPr>
              <w:t>年产30万套商用车传动轴</w:t>
            </w:r>
          </w:p>
        </w:tc>
        <w:tc>
          <w:tcPr>
            <w:tcW w:w="1388" w:type="pct"/>
            <w:vAlign w:val="center"/>
          </w:tcPr>
          <w:p w14:paraId="7084D267">
            <w:pPr>
              <w:spacing w:line="240" w:lineRule="auto"/>
              <w:ind w:firstLine="0" w:firstLineChars="0"/>
              <w:rPr>
                <w:sz w:val="21"/>
                <w:szCs w:val="21"/>
              </w:rPr>
            </w:pPr>
            <w:r>
              <w:rPr>
                <w:sz w:val="21"/>
                <w:szCs w:val="21"/>
              </w:rPr>
              <w:t>传动轴下料机、挤压机等</w:t>
            </w:r>
          </w:p>
        </w:tc>
        <w:tc>
          <w:tcPr>
            <w:tcW w:w="720" w:type="pct"/>
            <w:vAlign w:val="center"/>
          </w:tcPr>
          <w:p w14:paraId="3F11B031">
            <w:pPr>
              <w:spacing w:line="240" w:lineRule="auto"/>
              <w:ind w:firstLine="0" w:firstLineChars="0"/>
              <w:rPr>
                <w:sz w:val="21"/>
                <w:szCs w:val="21"/>
              </w:rPr>
            </w:pPr>
            <w:r>
              <w:rPr>
                <w:sz w:val="21"/>
                <w:szCs w:val="21"/>
              </w:rPr>
              <w:t>汽车制造业</w:t>
            </w:r>
          </w:p>
        </w:tc>
      </w:tr>
      <w:tr w14:paraId="376B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3024ABE">
            <w:pPr>
              <w:spacing w:line="240" w:lineRule="auto"/>
              <w:ind w:firstLine="0" w:firstLineChars="0"/>
              <w:rPr>
                <w:sz w:val="21"/>
                <w:szCs w:val="21"/>
              </w:rPr>
            </w:pPr>
            <w:r>
              <w:rPr>
                <w:sz w:val="21"/>
                <w:szCs w:val="21"/>
              </w:rPr>
              <w:t>28</w:t>
            </w:r>
          </w:p>
        </w:tc>
        <w:tc>
          <w:tcPr>
            <w:tcW w:w="856" w:type="pct"/>
            <w:vAlign w:val="center"/>
          </w:tcPr>
          <w:p w14:paraId="6EED93CE">
            <w:pPr>
              <w:spacing w:line="240" w:lineRule="auto"/>
              <w:ind w:firstLine="0" w:firstLineChars="0"/>
              <w:rPr>
                <w:sz w:val="21"/>
                <w:szCs w:val="21"/>
              </w:rPr>
            </w:pPr>
            <w:r>
              <w:rPr>
                <w:sz w:val="21"/>
                <w:szCs w:val="21"/>
              </w:rPr>
              <w:t>包头市宇星科技有限公司</w:t>
            </w:r>
          </w:p>
        </w:tc>
        <w:tc>
          <w:tcPr>
            <w:tcW w:w="1388" w:type="pct"/>
            <w:vAlign w:val="center"/>
          </w:tcPr>
          <w:p w14:paraId="37A45853">
            <w:pPr>
              <w:spacing w:line="240" w:lineRule="auto"/>
              <w:ind w:firstLine="0" w:firstLineChars="0"/>
              <w:rPr>
                <w:sz w:val="21"/>
                <w:szCs w:val="21"/>
              </w:rPr>
            </w:pPr>
            <w:r>
              <w:rPr>
                <w:sz w:val="21"/>
                <w:szCs w:val="21"/>
              </w:rPr>
              <w:t>年产电泳涂装产品10万平方米、橡塑制品喷涂20万平方米、毛坯泳涂12万平方米及PPG涂料分装1138吨</w:t>
            </w:r>
          </w:p>
        </w:tc>
        <w:tc>
          <w:tcPr>
            <w:tcW w:w="1388" w:type="pct"/>
            <w:vAlign w:val="center"/>
          </w:tcPr>
          <w:p w14:paraId="30C7FA7D">
            <w:pPr>
              <w:spacing w:line="240" w:lineRule="auto"/>
              <w:ind w:firstLine="0" w:firstLineChars="0"/>
              <w:rPr>
                <w:sz w:val="21"/>
                <w:szCs w:val="21"/>
              </w:rPr>
            </w:pPr>
            <w:r>
              <w:rPr>
                <w:sz w:val="21"/>
                <w:szCs w:val="21"/>
              </w:rPr>
              <w:t>脱脂槽、水洗槽、磷化槽、电泳槽、电泳漆烘干室、污水处理设施</w:t>
            </w:r>
          </w:p>
        </w:tc>
        <w:tc>
          <w:tcPr>
            <w:tcW w:w="720" w:type="pct"/>
            <w:vAlign w:val="center"/>
          </w:tcPr>
          <w:p w14:paraId="50D39273">
            <w:pPr>
              <w:spacing w:line="240" w:lineRule="auto"/>
              <w:ind w:firstLine="0" w:firstLineChars="0"/>
              <w:rPr>
                <w:sz w:val="21"/>
                <w:szCs w:val="21"/>
              </w:rPr>
            </w:pPr>
            <w:r>
              <w:rPr>
                <w:sz w:val="21"/>
                <w:szCs w:val="21"/>
              </w:rPr>
              <w:t>金属制品业</w:t>
            </w:r>
          </w:p>
        </w:tc>
      </w:tr>
      <w:tr w14:paraId="4503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DD79874">
            <w:pPr>
              <w:spacing w:line="240" w:lineRule="auto"/>
              <w:ind w:firstLine="0" w:firstLineChars="0"/>
              <w:rPr>
                <w:sz w:val="21"/>
                <w:szCs w:val="21"/>
              </w:rPr>
            </w:pPr>
            <w:r>
              <w:rPr>
                <w:sz w:val="21"/>
                <w:szCs w:val="21"/>
              </w:rPr>
              <w:t>29</w:t>
            </w:r>
          </w:p>
        </w:tc>
        <w:tc>
          <w:tcPr>
            <w:tcW w:w="856" w:type="pct"/>
            <w:vAlign w:val="center"/>
          </w:tcPr>
          <w:p w14:paraId="07E9C4BA">
            <w:pPr>
              <w:spacing w:line="240" w:lineRule="auto"/>
              <w:ind w:firstLine="0" w:firstLineChars="0"/>
              <w:rPr>
                <w:sz w:val="21"/>
                <w:szCs w:val="21"/>
              </w:rPr>
            </w:pPr>
            <w:r>
              <w:rPr>
                <w:sz w:val="21"/>
                <w:szCs w:val="21"/>
              </w:rPr>
              <w:t>包头市宏业传动链条有限责任公司</w:t>
            </w:r>
          </w:p>
        </w:tc>
        <w:tc>
          <w:tcPr>
            <w:tcW w:w="1388" w:type="pct"/>
            <w:vAlign w:val="center"/>
          </w:tcPr>
          <w:p w14:paraId="46E081F0">
            <w:pPr>
              <w:spacing w:line="240" w:lineRule="auto"/>
              <w:ind w:firstLine="0" w:firstLineChars="0"/>
              <w:rPr>
                <w:sz w:val="21"/>
                <w:szCs w:val="21"/>
              </w:rPr>
            </w:pPr>
            <w:r>
              <w:rPr>
                <w:sz w:val="21"/>
                <w:szCs w:val="21"/>
              </w:rPr>
              <w:t>年产1万吨输送装备</w:t>
            </w:r>
          </w:p>
        </w:tc>
        <w:tc>
          <w:tcPr>
            <w:tcW w:w="1388" w:type="pct"/>
            <w:vAlign w:val="center"/>
          </w:tcPr>
          <w:p w14:paraId="253DE5F3">
            <w:pPr>
              <w:spacing w:line="240" w:lineRule="auto"/>
              <w:ind w:firstLine="0" w:firstLineChars="0"/>
              <w:rPr>
                <w:sz w:val="21"/>
                <w:szCs w:val="21"/>
              </w:rPr>
            </w:pPr>
            <w:r>
              <w:rPr>
                <w:sz w:val="21"/>
                <w:szCs w:val="21"/>
              </w:rPr>
              <w:t>剪板机、冲床、切割机、焊机等</w:t>
            </w:r>
          </w:p>
        </w:tc>
        <w:tc>
          <w:tcPr>
            <w:tcW w:w="720" w:type="pct"/>
            <w:vAlign w:val="center"/>
          </w:tcPr>
          <w:p w14:paraId="1C81F75B">
            <w:pPr>
              <w:spacing w:line="240" w:lineRule="auto"/>
              <w:ind w:firstLine="0" w:firstLineChars="0"/>
              <w:rPr>
                <w:sz w:val="21"/>
                <w:szCs w:val="21"/>
              </w:rPr>
            </w:pPr>
            <w:r>
              <w:rPr>
                <w:sz w:val="21"/>
                <w:szCs w:val="21"/>
              </w:rPr>
              <w:t>通用设备制造业</w:t>
            </w:r>
          </w:p>
        </w:tc>
      </w:tr>
      <w:tr w14:paraId="6481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4DE140E">
            <w:pPr>
              <w:spacing w:line="240" w:lineRule="auto"/>
              <w:ind w:firstLine="0" w:firstLineChars="0"/>
              <w:rPr>
                <w:sz w:val="21"/>
                <w:szCs w:val="21"/>
              </w:rPr>
            </w:pPr>
            <w:r>
              <w:rPr>
                <w:sz w:val="21"/>
                <w:szCs w:val="21"/>
              </w:rPr>
              <w:t>30</w:t>
            </w:r>
          </w:p>
        </w:tc>
        <w:tc>
          <w:tcPr>
            <w:tcW w:w="856" w:type="pct"/>
            <w:vAlign w:val="center"/>
          </w:tcPr>
          <w:p w14:paraId="5346CDFC">
            <w:pPr>
              <w:spacing w:line="240" w:lineRule="auto"/>
              <w:ind w:firstLine="0" w:firstLineChars="0"/>
              <w:rPr>
                <w:sz w:val="21"/>
                <w:szCs w:val="21"/>
              </w:rPr>
            </w:pPr>
            <w:r>
              <w:rPr>
                <w:sz w:val="21"/>
                <w:szCs w:val="21"/>
              </w:rPr>
              <w:t>内蒙古福晟达塑业有限公司</w:t>
            </w:r>
          </w:p>
        </w:tc>
        <w:tc>
          <w:tcPr>
            <w:tcW w:w="1388" w:type="pct"/>
            <w:vAlign w:val="center"/>
          </w:tcPr>
          <w:p w14:paraId="4D139EB9">
            <w:pPr>
              <w:spacing w:line="240" w:lineRule="auto"/>
              <w:ind w:firstLine="0" w:firstLineChars="0"/>
              <w:rPr>
                <w:sz w:val="21"/>
                <w:szCs w:val="21"/>
              </w:rPr>
            </w:pPr>
            <w:r>
              <w:rPr>
                <w:sz w:val="21"/>
                <w:szCs w:val="21"/>
              </w:rPr>
              <w:t>年加工食品包装袋 800 吨</w:t>
            </w:r>
          </w:p>
        </w:tc>
        <w:tc>
          <w:tcPr>
            <w:tcW w:w="1388" w:type="pct"/>
            <w:vAlign w:val="center"/>
          </w:tcPr>
          <w:p w14:paraId="5714EC8E">
            <w:pPr>
              <w:spacing w:line="240" w:lineRule="auto"/>
              <w:ind w:firstLine="0" w:firstLineChars="0"/>
              <w:rPr>
                <w:sz w:val="21"/>
                <w:szCs w:val="21"/>
              </w:rPr>
            </w:pPr>
            <w:r>
              <w:rPr>
                <w:sz w:val="21"/>
                <w:szCs w:val="21"/>
              </w:rPr>
              <w:t>吹模、彩印、制袋</w:t>
            </w:r>
          </w:p>
        </w:tc>
        <w:tc>
          <w:tcPr>
            <w:tcW w:w="720" w:type="pct"/>
            <w:vAlign w:val="center"/>
          </w:tcPr>
          <w:p w14:paraId="0D11E1CF">
            <w:pPr>
              <w:spacing w:line="240" w:lineRule="auto"/>
              <w:ind w:firstLine="0" w:firstLineChars="0"/>
              <w:rPr>
                <w:sz w:val="21"/>
                <w:szCs w:val="21"/>
              </w:rPr>
            </w:pPr>
            <w:r>
              <w:rPr>
                <w:sz w:val="21"/>
                <w:szCs w:val="21"/>
              </w:rPr>
              <w:t>橡胶和塑料制品业</w:t>
            </w:r>
          </w:p>
        </w:tc>
      </w:tr>
      <w:tr w14:paraId="7EDD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A7C72EE">
            <w:pPr>
              <w:spacing w:line="240" w:lineRule="auto"/>
              <w:ind w:firstLine="0" w:firstLineChars="0"/>
              <w:rPr>
                <w:sz w:val="21"/>
                <w:szCs w:val="21"/>
              </w:rPr>
            </w:pPr>
            <w:r>
              <w:rPr>
                <w:sz w:val="21"/>
                <w:szCs w:val="21"/>
              </w:rPr>
              <w:t>31</w:t>
            </w:r>
          </w:p>
        </w:tc>
        <w:tc>
          <w:tcPr>
            <w:tcW w:w="856" w:type="pct"/>
            <w:vAlign w:val="center"/>
          </w:tcPr>
          <w:p w14:paraId="303DDA7B">
            <w:pPr>
              <w:spacing w:line="240" w:lineRule="auto"/>
              <w:ind w:firstLine="0" w:firstLineChars="0"/>
              <w:rPr>
                <w:sz w:val="21"/>
                <w:szCs w:val="21"/>
              </w:rPr>
            </w:pPr>
            <w:r>
              <w:rPr>
                <w:sz w:val="21"/>
                <w:szCs w:val="21"/>
              </w:rPr>
              <w:t>包头市阿特机电技术有限责任公司</w:t>
            </w:r>
          </w:p>
        </w:tc>
        <w:tc>
          <w:tcPr>
            <w:tcW w:w="1388" w:type="pct"/>
            <w:vAlign w:val="center"/>
          </w:tcPr>
          <w:p w14:paraId="67822B97">
            <w:pPr>
              <w:spacing w:line="240" w:lineRule="auto"/>
              <w:ind w:firstLine="0" w:firstLineChars="0"/>
              <w:rPr>
                <w:sz w:val="21"/>
                <w:szCs w:val="21"/>
              </w:rPr>
            </w:pPr>
            <w:r>
              <w:rPr>
                <w:sz w:val="21"/>
                <w:szCs w:val="21"/>
              </w:rPr>
              <w:t>年加工风电设备机座300套、各型号挖掘机下车架500套和上车架720套</w:t>
            </w:r>
          </w:p>
        </w:tc>
        <w:tc>
          <w:tcPr>
            <w:tcW w:w="1388" w:type="pct"/>
            <w:vAlign w:val="center"/>
          </w:tcPr>
          <w:p w14:paraId="1F94F48A">
            <w:pPr>
              <w:spacing w:line="240" w:lineRule="auto"/>
              <w:ind w:firstLine="0" w:firstLineChars="0"/>
              <w:rPr>
                <w:sz w:val="21"/>
                <w:szCs w:val="21"/>
              </w:rPr>
            </w:pPr>
            <w:r>
              <w:rPr>
                <w:sz w:val="21"/>
                <w:szCs w:val="21"/>
              </w:rPr>
              <w:t>热辐射钻床、车床铣床等，无喷漆</w:t>
            </w:r>
          </w:p>
        </w:tc>
        <w:tc>
          <w:tcPr>
            <w:tcW w:w="720" w:type="pct"/>
            <w:vAlign w:val="center"/>
          </w:tcPr>
          <w:p w14:paraId="383DCDDF">
            <w:pPr>
              <w:spacing w:line="240" w:lineRule="auto"/>
              <w:ind w:firstLine="0" w:firstLineChars="0"/>
              <w:rPr>
                <w:sz w:val="21"/>
                <w:szCs w:val="21"/>
              </w:rPr>
            </w:pPr>
            <w:r>
              <w:rPr>
                <w:sz w:val="21"/>
                <w:szCs w:val="21"/>
              </w:rPr>
              <w:t>专用设备制造业</w:t>
            </w:r>
          </w:p>
        </w:tc>
      </w:tr>
      <w:tr w14:paraId="4828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6B98FAD">
            <w:pPr>
              <w:spacing w:line="240" w:lineRule="auto"/>
              <w:ind w:firstLine="0" w:firstLineChars="0"/>
              <w:rPr>
                <w:sz w:val="21"/>
                <w:szCs w:val="21"/>
              </w:rPr>
            </w:pPr>
            <w:r>
              <w:rPr>
                <w:sz w:val="21"/>
                <w:szCs w:val="21"/>
              </w:rPr>
              <w:t>32</w:t>
            </w:r>
          </w:p>
        </w:tc>
        <w:tc>
          <w:tcPr>
            <w:tcW w:w="856" w:type="pct"/>
            <w:vAlign w:val="center"/>
          </w:tcPr>
          <w:p w14:paraId="37B2B7B8">
            <w:pPr>
              <w:spacing w:line="240" w:lineRule="auto"/>
              <w:ind w:firstLine="0" w:firstLineChars="0"/>
              <w:rPr>
                <w:sz w:val="21"/>
                <w:szCs w:val="21"/>
              </w:rPr>
            </w:pPr>
            <w:r>
              <w:rPr>
                <w:sz w:val="21"/>
                <w:szCs w:val="21"/>
              </w:rPr>
              <w:t>包头市惠中工贸有限责任公司</w:t>
            </w:r>
          </w:p>
        </w:tc>
        <w:tc>
          <w:tcPr>
            <w:tcW w:w="1388" w:type="pct"/>
            <w:vAlign w:val="center"/>
          </w:tcPr>
          <w:p w14:paraId="70CF8577">
            <w:pPr>
              <w:spacing w:line="240" w:lineRule="auto"/>
              <w:ind w:firstLine="0" w:firstLineChars="0"/>
              <w:rPr>
                <w:sz w:val="21"/>
                <w:szCs w:val="21"/>
              </w:rPr>
            </w:pPr>
            <w:r>
              <w:rPr>
                <w:sz w:val="21"/>
                <w:szCs w:val="21"/>
              </w:rPr>
              <w:t>年产汽车排气管20万件、汽车油管50万件、汽车通气钢管10万件</w:t>
            </w:r>
          </w:p>
        </w:tc>
        <w:tc>
          <w:tcPr>
            <w:tcW w:w="1388" w:type="pct"/>
            <w:vAlign w:val="center"/>
          </w:tcPr>
          <w:p w14:paraId="4C5EBF2E">
            <w:pPr>
              <w:spacing w:line="240" w:lineRule="auto"/>
              <w:ind w:firstLine="0" w:firstLineChars="0"/>
              <w:rPr>
                <w:sz w:val="21"/>
                <w:szCs w:val="21"/>
              </w:rPr>
            </w:pPr>
            <w:r>
              <w:rPr>
                <w:sz w:val="21"/>
                <w:szCs w:val="21"/>
              </w:rPr>
              <w:t>钻床、车床铣床冲床等，焊接</w:t>
            </w:r>
          </w:p>
        </w:tc>
        <w:tc>
          <w:tcPr>
            <w:tcW w:w="720" w:type="pct"/>
            <w:vAlign w:val="center"/>
          </w:tcPr>
          <w:p w14:paraId="5B65FB4A">
            <w:pPr>
              <w:spacing w:line="240" w:lineRule="auto"/>
              <w:ind w:firstLine="0" w:firstLineChars="0"/>
              <w:rPr>
                <w:sz w:val="21"/>
                <w:szCs w:val="21"/>
              </w:rPr>
            </w:pPr>
            <w:r>
              <w:rPr>
                <w:sz w:val="21"/>
                <w:szCs w:val="21"/>
              </w:rPr>
              <w:t>汽车制造业</w:t>
            </w:r>
          </w:p>
        </w:tc>
      </w:tr>
      <w:tr w14:paraId="2D8D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7FF961A9">
            <w:pPr>
              <w:spacing w:line="240" w:lineRule="auto"/>
              <w:ind w:firstLine="0" w:firstLineChars="0"/>
              <w:rPr>
                <w:sz w:val="21"/>
                <w:szCs w:val="21"/>
              </w:rPr>
            </w:pPr>
            <w:r>
              <w:rPr>
                <w:sz w:val="21"/>
                <w:szCs w:val="21"/>
              </w:rPr>
              <w:t>33</w:t>
            </w:r>
          </w:p>
        </w:tc>
        <w:tc>
          <w:tcPr>
            <w:tcW w:w="856" w:type="pct"/>
            <w:vAlign w:val="center"/>
          </w:tcPr>
          <w:p w14:paraId="6372A124">
            <w:pPr>
              <w:spacing w:line="240" w:lineRule="auto"/>
              <w:ind w:firstLine="0" w:firstLineChars="0"/>
              <w:rPr>
                <w:sz w:val="21"/>
                <w:szCs w:val="21"/>
              </w:rPr>
            </w:pPr>
            <w:r>
              <w:rPr>
                <w:sz w:val="21"/>
                <w:szCs w:val="21"/>
              </w:rPr>
              <w:t>内蒙古佳禾玻璃科技有限责任公司</w:t>
            </w:r>
          </w:p>
        </w:tc>
        <w:tc>
          <w:tcPr>
            <w:tcW w:w="1388" w:type="pct"/>
            <w:vAlign w:val="center"/>
          </w:tcPr>
          <w:p w14:paraId="1D722BAB">
            <w:pPr>
              <w:spacing w:line="240" w:lineRule="auto"/>
              <w:ind w:firstLine="0" w:firstLineChars="0"/>
              <w:rPr>
                <w:sz w:val="21"/>
                <w:szCs w:val="21"/>
              </w:rPr>
            </w:pPr>
            <w:r>
              <w:rPr>
                <w:sz w:val="21"/>
                <w:szCs w:val="21"/>
              </w:rPr>
              <w:t>年产各类深加工玻璃380万平方米</w:t>
            </w:r>
          </w:p>
        </w:tc>
        <w:tc>
          <w:tcPr>
            <w:tcW w:w="1388" w:type="pct"/>
            <w:vAlign w:val="center"/>
          </w:tcPr>
          <w:p w14:paraId="28406178">
            <w:pPr>
              <w:spacing w:line="240" w:lineRule="auto"/>
              <w:ind w:firstLine="0" w:firstLineChars="0"/>
              <w:rPr>
                <w:sz w:val="21"/>
                <w:szCs w:val="21"/>
              </w:rPr>
            </w:pPr>
            <w:r>
              <w:rPr>
                <w:sz w:val="21"/>
                <w:szCs w:val="21"/>
              </w:rPr>
              <w:t>意大利保特罗全自动切割机、汉东LOW-E清洗机等</w:t>
            </w:r>
          </w:p>
        </w:tc>
        <w:tc>
          <w:tcPr>
            <w:tcW w:w="720" w:type="pct"/>
            <w:vAlign w:val="center"/>
          </w:tcPr>
          <w:p w14:paraId="37C4143A">
            <w:pPr>
              <w:spacing w:line="240" w:lineRule="auto"/>
              <w:ind w:firstLine="0" w:firstLineChars="0"/>
              <w:rPr>
                <w:sz w:val="21"/>
                <w:szCs w:val="21"/>
              </w:rPr>
            </w:pPr>
            <w:r>
              <w:rPr>
                <w:sz w:val="21"/>
                <w:szCs w:val="21"/>
              </w:rPr>
              <w:t>非金属矿物制品业</w:t>
            </w:r>
          </w:p>
        </w:tc>
      </w:tr>
      <w:tr w14:paraId="13F35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7EF2F24">
            <w:pPr>
              <w:spacing w:line="240" w:lineRule="auto"/>
              <w:ind w:firstLine="0" w:firstLineChars="0"/>
              <w:rPr>
                <w:sz w:val="21"/>
                <w:szCs w:val="21"/>
              </w:rPr>
            </w:pPr>
            <w:r>
              <w:rPr>
                <w:sz w:val="21"/>
                <w:szCs w:val="21"/>
              </w:rPr>
              <w:t>34</w:t>
            </w:r>
          </w:p>
        </w:tc>
        <w:tc>
          <w:tcPr>
            <w:tcW w:w="856" w:type="pct"/>
            <w:vAlign w:val="center"/>
          </w:tcPr>
          <w:p w14:paraId="62296C6E">
            <w:pPr>
              <w:spacing w:line="240" w:lineRule="auto"/>
              <w:ind w:firstLine="0" w:firstLineChars="0"/>
              <w:rPr>
                <w:sz w:val="21"/>
                <w:szCs w:val="21"/>
              </w:rPr>
            </w:pPr>
            <w:r>
              <w:rPr>
                <w:sz w:val="21"/>
                <w:szCs w:val="21"/>
              </w:rPr>
              <w:t>包头市蒙申通用汽车零件制造有限公司</w:t>
            </w:r>
          </w:p>
        </w:tc>
        <w:tc>
          <w:tcPr>
            <w:tcW w:w="1388" w:type="pct"/>
            <w:vAlign w:val="center"/>
          </w:tcPr>
          <w:p w14:paraId="2042A263">
            <w:pPr>
              <w:spacing w:line="240" w:lineRule="auto"/>
              <w:ind w:firstLine="0" w:firstLineChars="0"/>
              <w:rPr>
                <w:sz w:val="21"/>
                <w:szCs w:val="21"/>
              </w:rPr>
            </w:pPr>
            <w:r>
              <w:rPr>
                <w:sz w:val="21"/>
                <w:szCs w:val="21"/>
              </w:rPr>
              <w:t>年产汽车内饰件5万套</w:t>
            </w:r>
          </w:p>
        </w:tc>
        <w:tc>
          <w:tcPr>
            <w:tcW w:w="1388" w:type="pct"/>
            <w:vAlign w:val="center"/>
          </w:tcPr>
          <w:p w14:paraId="40D12823">
            <w:pPr>
              <w:spacing w:line="240" w:lineRule="auto"/>
              <w:ind w:firstLine="0" w:firstLineChars="0"/>
              <w:rPr>
                <w:sz w:val="21"/>
                <w:szCs w:val="21"/>
              </w:rPr>
            </w:pPr>
          </w:p>
        </w:tc>
        <w:tc>
          <w:tcPr>
            <w:tcW w:w="720" w:type="pct"/>
            <w:vAlign w:val="center"/>
          </w:tcPr>
          <w:p w14:paraId="3CCDD728">
            <w:pPr>
              <w:spacing w:line="240" w:lineRule="auto"/>
              <w:ind w:firstLine="0" w:firstLineChars="0"/>
              <w:rPr>
                <w:sz w:val="21"/>
                <w:szCs w:val="21"/>
              </w:rPr>
            </w:pPr>
            <w:r>
              <w:rPr>
                <w:sz w:val="21"/>
                <w:szCs w:val="21"/>
              </w:rPr>
              <w:t>汽车制造业</w:t>
            </w:r>
          </w:p>
        </w:tc>
      </w:tr>
      <w:tr w14:paraId="0BF0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0E31C0C">
            <w:pPr>
              <w:spacing w:line="240" w:lineRule="auto"/>
              <w:ind w:firstLine="0" w:firstLineChars="0"/>
              <w:rPr>
                <w:sz w:val="21"/>
                <w:szCs w:val="21"/>
              </w:rPr>
            </w:pPr>
            <w:r>
              <w:rPr>
                <w:sz w:val="21"/>
                <w:szCs w:val="21"/>
              </w:rPr>
              <w:t>35</w:t>
            </w:r>
          </w:p>
        </w:tc>
        <w:tc>
          <w:tcPr>
            <w:tcW w:w="856" w:type="pct"/>
            <w:vAlign w:val="center"/>
          </w:tcPr>
          <w:p w14:paraId="51E6E3CE">
            <w:pPr>
              <w:spacing w:line="240" w:lineRule="auto"/>
              <w:ind w:firstLine="0" w:firstLineChars="0"/>
              <w:rPr>
                <w:sz w:val="21"/>
                <w:szCs w:val="21"/>
              </w:rPr>
            </w:pPr>
            <w:r>
              <w:rPr>
                <w:sz w:val="21"/>
                <w:szCs w:val="21"/>
              </w:rPr>
              <w:t>包头北方铁路产品有限责任公司</w:t>
            </w:r>
          </w:p>
        </w:tc>
        <w:tc>
          <w:tcPr>
            <w:tcW w:w="1388" w:type="pct"/>
            <w:vAlign w:val="center"/>
          </w:tcPr>
          <w:p w14:paraId="45D6C6F7">
            <w:pPr>
              <w:spacing w:line="240" w:lineRule="auto"/>
              <w:ind w:firstLine="0" w:firstLineChars="0"/>
              <w:rPr>
                <w:sz w:val="21"/>
                <w:szCs w:val="21"/>
              </w:rPr>
            </w:pPr>
            <w:r>
              <w:rPr>
                <w:sz w:val="21"/>
                <w:szCs w:val="21"/>
              </w:rPr>
              <w:t>年产8万根（6万根半精加工铁路车轴、2万根精加工铁路车轴）</w:t>
            </w:r>
          </w:p>
        </w:tc>
        <w:tc>
          <w:tcPr>
            <w:tcW w:w="1388" w:type="pct"/>
            <w:vAlign w:val="center"/>
          </w:tcPr>
          <w:p w14:paraId="7E1ABA97">
            <w:pPr>
              <w:spacing w:line="240" w:lineRule="auto"/>
              <w:ind w:firstLine="0" w:firstLineChars="0"/>
              <w:rPr>
                <w:sz w:val="21"/>
                <w:szCs w:val="21"/>
              </w:rPr>
            </w:pPr>
            <w:r>
              <w:rPr>
                <w:sz w:val="21"/>
                <w:szCs w:val="21"/>
              </w:rPr>
              <w:t>加热、锻造、热处理、钻孔、探伤、涂漆</w:t>
            </w:r>
          </w:p>
        </w:tc>
        <w:tc>
          <w:tcPr>
            <w:tcW w:w="720" w:type="pct"/>
            <w:vAlign w:val="center"/>
          </w:tcPr>
          <w:p w14:paraId="4E1C340F">
            <w:pPr>
              <w:spacing w:line="240" w:lineRule="auto"/>
              <w:ind w:firstLine="0" w:firstLineChars="0"/>
              <w:rPr>
                <w:sz w:val="21"/>
                <w:szCs w:val="21"/>
              </w:rPr>
            </w:pPr>
            <w:r>
              <w:rPr>
                <w:sz w:val="21"/>
                <w:szCs w:val="21"/>
              </w:rPr>
              <w:t>铁路运输设备制造</w:t>
            </w:r>
          </w:p>
        </w:tc>
      </w:tr>
      <w:tr w14:paraId="5B4EF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24EF67D4">
            <w:pPr>
              <w:spacing w:line="240" w:lineRule="auto"/>
              <w:ind w:firstLine="0" w:firstLineChars="0"/>
              <w:rPr>
                <w:sz w:val="21"/>
                <w:szCs w:val="21"/>
              </w:rPr>
            </w:pPr>
            <w:r>
              <w:rPr>
                <w:sz w:val="21"/>
                <w:szCs w:val="21"/>
              </w:rPr>
              <w:t>36</w:t>
            </w:r>
          </w:p>
        </w:tc>
        <w:tc>
          <w:tcPr>
            <w:tcW w:w="856" w:type="pct"/>
            <w:vAlign w:val="center"/>
          </w:tcPr>
          <w:p w14:paraId="27FB3022">
            <w:pPr>
              <w:spacing w:line="240" w:lineRule="auto"/>
              <w:ind w:firstLine="0" w:firstLineChars="0"/>
              <w:rPr>
                <w:sz w:val="21"/>
                <w:szCs w:val="21"/>
              </w:rPr>
            </w:pPr>
            <w:r>
              <w:rPr>
                <w:sz w:val="21"/>
                <w:szCs w:val="21"/>
              </w:rPr>
              <w:t>华锐风电科技（内蒙古）有限公司</w:t>
            </w:r>
          </w:p>
        </w:tc>
        <w:tc>
          <w:tcPr>
            <w:tcW w:w="1388" w:type="pct"/>
            <w:vAlign w:val="center"/>
          </w:tcPr>
          <w:p w14:paraId="2E125871">
            <w:pPr>
              <w:spacing w:line="240" w:lineRule="auto"/>
              <w:ind w:firstLine="0" w:firstLineChars="0"/>
              <w:rPr>
                <w:sz w:val="21"/>
                <w:szCs w:val="21"/>
              </w:rPr>
            </w:pPr>
            <w:r>
              <w:rPr>
                <w:sz w:val="21"/>
                <w:szCs w:val="21"/>
              </w:rPr>
              <w:t>年产1.5兆瓦风电机组500套、轮毂部件500套</w:t>
            </w:r>
          </w:p>
        </w:tc>
        <w:tc>
          <w:tcPr>
            <w:tcW w:w="1388" w:type="pct"/>
            <w:vAlign w:val="center"/>
          </w:tcPr>
          <w:p w14:paraId="5E01EEE3">
            <w:pPr>
              <w:spacing w:line="240" w:lineRule="auto"/>
              <w:ind w:firstLine="0" w:firstLineChars="0"/>
              <w:rPr>
                <w:sz w:val="21"/>
                <w:szCs w:val="21"/>
              </w:rPr>
            </w:pPr>
            <w:r>
              <w:rPr>
                <w:sz w:val="21"/>
                <w:szCs w:val="21"/>
              </w:rPr>
              <w:t>1.5MW、3MW风电机组的部装、总装和试验任务</w:t>
            </w:r>
          </w:p>
        </w:tc>
        <w:tc>
          <w:tcPr>
            <w:tcW w:w="720" w:type="pct"/>
            <w:vAlign w:val="center"/>
          </w:tcPr>
          <w:p w14:paraId="7234CC07">
            <w:pPr>
              <w:spacing w:line="240" w:lineRule="auto"/>
              <w:ind w:firstLine="0" w:firstLineChars="0"/>
              <w:rPr>
                <w:sz w:val="21"/>
                <w:szCs w:val="21"/>
              </w:rPr>
            </w:pPr>
            <w:r>
              <w:rPr>
                <w:sz w:val="21"/>
                <w:szCs w:val="21"/>
              </w:rPr>
              <w:t>电气机械和器材制造业</w:t>
            </w:r>
          </w:p>
        </w:tc>
      </w:tr>
      <w:tr w14:paraId="0F15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E920F85">
            <w:pPr>
              <w:spacing w:line="240" w:lineRule="auto"/>
              <w:ind w:firstLine="0" w:firstLineChars="0"/>
              <w:rPr>
                <w:sz w:val="21"/>
                <w:szCs w:val="21"/>
              </w:rPr>
            </w:pPr>
            <w:r>
              <w:rPr>
                <w:sz w:val="21"/>
                <w:szCs w:val="21"/>
              </w:rPr>
              <w:t>37</w:t>
            </w:r>
          </w:p>
        </w:tc>
        <w:tc>
          <w:tcPr>
            <w:tcW w:w="856" w:type="pct"/>
            <w:vAlign w:val="center"/>
          </w:tcPr>
          <w:p w14:paraId="5B55ADAB">
            <w:pPr>
              <w:spacing w:line="240" w:lineRule="auto"/>
              <w:ind w:firstLine="0" w:firstLineChars="0"/>
              <w:rPr>
                <w:sz w:val="21"/>
                <w:szCs w:val="21"/>
              </w:rPr>
            </w:pPr>
            <w:r>
              <w:rPr>
                <w:sz w:val="21"/>
                <w:szCs w:val="21"/>
              </w:rPr>
              <w:t>内蒙古中科恒源能源科技有限公司</w:t>
            </w:r>
          </w:p>
        </w:tc>
        <w:tc>
          <w:tcPr>
            <w:tcW w:w="1388" w:type="pct"/>
            <w:vAlign w:val="center"/>
          </w:tcPr>
          <w:p w14:paraId="05111416">
            <w:pPr>
              <w:spacing w:line="240" w:lineRule="auto"/>
              <w:ind w:firstLine="0" w:firstLineChars="0"/>
              <w:rPr>
                <w:sz w:val="21"/>
                <w:szCs w:val="21"/>
              </w:rPr>
            </w:pPr>
            <w:r>
              <w:rPr>
                <w:sz w:val="21"/>
                <w:szCs w:val="21"/>
              </w:rPr>
              <w:t>年产14000台风机、2000台风光互补供电系统</w:t>
            </w:r>
          </w:p>
        </w:tc>
        <w:tc>
          <w:tcPr>
            <w:tcW w:w="1388" w:type="pct"/>
            <w:vAlign w:val="center"/>
          </w:tcPr>
          <w:p w14:paraId="73CF3F4D">
            <w:pPr>
              <w:spacing w:line="240" w:lineRule="auto"/>
              <w:ind w:firstLine="0" w:firstLineChars="0"/>
              <w:rPr>
                <w:sz w:val="21"/>
                <w:szCs w:val="21"/>
              </w:rPr>
            </w:pPr>
            <w:r>
              <w:rPr>
                <w:sz w:val="21"/>
                <w:szCs w:val="21"/>
              </w:rPr>
              <w:t>焊机、电阻测量仪、吊车等</w:t>
            </w:r>
          </w:p>
        </w:tc>
        <w:tc>
          <w:tcPr>
            <w:tcW w:w="720" w:type="pct"/>
            <w:vAlign w:val="center"/>
          </w:tcPr>
          <w:p w14:paraId="0BF5DA65">
            <w:pPr>
              <w:spacing w:line="240" w:lineRule="auto"/>
              <w:ind w:firstLine="0" w:firstLineChars="0"/>
              <w:rPr>
                <w:sz w:val="21"/>
                <w:szCs w:val="21"/>
              </w:rPr>
            </w:pPr>
            <w:r>
              <w:rPr>
                <w:sz w:val="21"/>
                <w:szCs w:val="21"/>
              </w:rPr>
              <w:t>电气机械和器材制造业</w:t>
            </w:r>
          </w:p>
        </w:tc>
      </w:tr>
      <w:tr w14:paraId="0AFB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13CC252">
            <w:pPr>
              <w:spacing w:line="240" w:lineRule="auto"/>
              <w:ind w:firstLine="0" w:firstLineChars="0"/>
              <w:rPr>
                <w:sz w:val="21"/>
                <w:szCs w:val="21"/>
              </w:rPr>
            </w:pPr>
            <w:r>
              <w:rPr>
                <w:sz w:val="21"/>
                <w:szCs w:val="21"/>
              </w:rPr>
              <w:t>38</w:t>
            </w:r>
          </w:p>
        </w:tc>
        <w:tc>
          <w:tcPr>
            <w:tcW w:w="856" w:type="pct"/>
            <w:vAlign w:val="center"/>
          </w:tcPr>
          <w:p w14:paraId="650A90C9">
            <w:pPr>
              <w:spacing w:line="240" w:lineRule="auto"/>
              <w:ind w:firstLine="0" w:firstLineChars="0"/>
              <w:rPr>
                <w:sz w:val="21"/>
                <w:szCs w:val="21"/>
              </w:rPr>
            </w:pPr>
            <w:r>
              <w:rPr>
                <w:sz w:val="21"/>
                <w:szCs w:val="21"/>
              </w:rPr>
              <w:t>北重安东机械制造有限公司</w:t>
            </w:r>
          </w:p>
        </w:tc>
        <w:tc>
          <w:tcPr>
            <w:tcW w:w="1388" w:type="pct"/>
            <w:vAlign w:val="center"/>
          </w:tcPr>
          <w:p w14:paraId="60F564FC">
            <w:pPr>
              <w:spacing w:line="240" w:lineRule="auto"/>
              <w:ind w:firstLine="0" w:firstLineChars="0"/>
              <w:rPr>
                <w:sz w:val="21"/>
                <w:szCs w:val="21"/>
              </w:rPr>
            </w:pPr>
            <w:r>
              <w:rPr>
                <w:sz w:val="21"/>
                <w:szCs w:val="21"/>
              </w:rPr>
              <w:t>年产1.2万支石油钻具，500支铸模管</w:t>
            </w:r>
          </w:p>
        </w:tc>
        <w:tc>
          <w:tcPr>
            <w:tcW w:w="1388" w:type="pct"/>
            <w:vAlign w:val="center"/>
          </w:tcPr>
          <w:p w14:paraId="5455199B">
            <w:pPr>
              <w:spacing w:line="240" w:lineRule="auto"/>
              <w:ind w:firstLine="0" w:firstLineChars="0"/>
              <w:rPr>
                <w:sz w:val="21"/>
                <w:szCs w:val="21"/>
              </w:rPr>
            </w:pPr>
            <w:r>
              <w:rPr>
                <w:sz w:val="21"/>
                <w:szCs w:val="21"/>
              </w:rPr>
              <w:t>镗床、铣床车床等焊接热处理</w:t>
            </w:r>
          </w:p>
        </w:tc>
        <w:tc>
          <w:tcPr>
            <w:tcW w:w="720" w:type="pct"/>
            <w:vAlign w:val="center"/>
          </w:tcPr>
          <w:p w14:paraId="0FA7F2F3">
            <w:pPr>
              <w:spacing w:line="240" w:lineRule="auto"/>
              <w:ind w:firstLine="0" w:firstLineChars="0"/>
              <w:rPr>
                <w:sz w:val="21"/>
                <w:szCs w:val="21"/>
              </w:rPr>
            </w:pPr>
            <w:r>
              <w:rPr>
                <w:sz w:val="21"/>
                <w:szCs w:val="21"/>
              </w:rPr>
              <w:t>专用设备制造业</w:t>
            </w:r>
          </w:p>
        </w:tc>
      </w:tr>
      <w:tr w14:paraId="529A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4A19BCD">
            <w:pPr>
              <w:spacing w:line="240" w:lineRule="auto"/>
              <w:ind w:firstLine="0" w:firstLineChars="0"/>
              <w:rPr>
                <w:sz w:val="21"/>
                <w:szCs w:val="21"/>
              </w:rPr>
            </w:pPr>
            <w:r>
              <w:rPr>
                <w:sz w:val="21"/>
                <w:szCs w:val="21"/>
              </w:rPr>
              <w:t>39</w:t>
            </w:r>
          </w:p>
        </w:tc>
        <w:tc>
          <w:tcPr>
            <w:tcW w:w="856" w:type="pct"/>
            <w:vAlign w:val="center"/>
          </w:tcPr>
          <w:p w14:paraId="63224BC2">
            <w:pPr>
              <w:spacing w:line="240" w:lineRule="auto"/>
              <w:ind w:firstLine="0" w:firstLineChars="0"/>
              <w:rPr>
                <w:sz w:val="21"/>
                <w:szCs w:val="21"/>
              </w:rPr>
            </w:pPr>
            <w:r>
              <w:rPr>
                <w:sz w:val="21"/>
                <w:szCs w:val="21"/>
              </w:rPr>
              <w:t>中国重汽集团包头新宏昌专用车有限公司</w:t>
            </w:r>
          </w:p>
        </w:tc>
        <w:tc>
          <w:tcPr>
            <w:tcW w:w="1388" w:type="pct"/>
            <w:vAlign w:val="center"/>
          </w:tcPr>
          <w:p w14:paraId="379743C5">
            <w:pPr>
              <w:spacing w:line="240" w:lineRule="auto"/>
              <w:ind w:firstLine="0" w:firstLineChars="0"/>
              <w:rPr>
                <w:sz w:val="21"/>
                <w:szCs w:val="21"/>
              </w:rPr>
            </w:pPr>
            <w:r>
              <w:rPr>
                <w:sz w:val="21"/>
                <w:szCs w:val="21"/>
              </w:rPr>
              <w:t>年产专用车5000辆</w:t>
            </w:r>
          </w:p>
        </w:tc>
        <w:tc>
          <w:tcPr>
            <w:tcW w:w="1388" w:type="pct"/>
            <w:vAlign w:val="center"/>
          </w:tcPr>
          <w:p w14:paraId="51CC5532">
            <w:pPr>
              <w:spacing w:line="240" w:lineRule="auto"/>
              <w:ind w:firstLine="0" w:firstLineChars="0"/>
              <w:rPr>
                <w:sz w:val="21"/>
                <w:szCs w:val="21"/>
              </w:rPr>
            </w:pPr>
            <w:r>
              <w:rPr>
                <w:sz w:val="21"/>
                <w:szCs w:val="21"/>
              </w:rPr>
              <w:t>金属结构车间、机加工车间、装配车间和涂装车间等</w:t>
            </w:r>
          </w:p>
        </w:tc>
        <w:tc>
          <w:tcPr>
            <w:tcW w:w="720" w:type="pct"/>
            <w:vAlign w:val="center"/>
          </w:tcPr>
          <w:p w14:paraId="249EBD74">
            <w:pPr>
              <w:spacing w:line="240" w:lineRule="auto"/>
              <w:ind w:firstLine="0" w:firstLineChars="0"/>
              <w:rPr>
                <w:sz w:val="21"/>
                <w:szCs w:val="21"/>
              </w:rPr>
            </w:pPr>
            <w:r>
              <w:rPr>
                <w:sz w:val="21"/>
                <w:szCs w:val="21"/>
              </w:rPr>
              <w:t>汽车制造业</w:t>
            </w:r>
          </w:p>
        </w:tc>
      </w:tr>
      <w:tr w14:paraId="40F8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D93D6F9">
            <w:pPr>
              <w:spacing w:line="240" w:lineRule="auto"/>
              <w:ind w:firstLine="0" w:firstLineChars="0"/>
              <w:rPr>
                <w:sz w:val="21"/>
                <w:szCs w:val="21"/>
              </w:rPr>
            </w:pPr>
            <w:r>
              <w:rPr>
                <w:sz w:val="21"/>
                <w:szCs w:val="21"/>
              </w:rPr>
              <w:t>40</w:t>
            </w:r>
          </w:p>
        </w:tc>
        <w:tc>
          <w:tcPr>
            <w:tcW w:w="856" w:type="pct"/>
            <w:vAlign w:val="center"/>
          </w:tcPr>
          <w:p w14:paraId="1CCCCD01">
            <w:pPr>
              <w:spacing w:line="240" w:lineRule="auto"/>
              <w:ind w:firstLine="0" w:firstLineChars="0"/>
              <w:rPr>
                <w:sz w:val="21"/>
                <w:szCs w:val="21"/>
              </w:rPr>
            </w:pPr>
            <w:r>
              <w:rPr>
                <w:sz w:val="21"/>
                <w:szCs w:val="21"/>
              </w:rPr>
              <w:t>内蒙古中城机械有限公司</w:t>
            </w:r>
          </w:p>
        </w:tc>
        <w:tc>
          <w:tcPr>
            <w:tcW w:w="1388" w:type="pct"/>
            <w:vAlign w:val="center"/>
          </w:tcPr>
          <w:p w14:paraId="7ECBA51B">
            <w:pPr>
              <w:spacing w:line="240" w:lineRule="auto"/>
              <w:ind w:firstLine="0" w:firstLineChars="0"/>
              <w:rPr>
                <w:sz w:val="21"/>
                <w:szCs w:val="21"/>
              </w:rPr>
            </w:pPr>
            <w:r>
              <w:rPr>
                <w:sz w:val="21"/>
                <w:szCs w:val="21"/>
              </w:rPr>
              <w:t>年装配、再制造3000台各类工程机械</w:t>
            </w:r>
          </w:p>
        </w:tc>
        <w:tc>
          <w:tcPr>
            <w:tcW w:w="1388" w:type="pct"/>
            <w:vAlign w:val="center"/>
          </w:tcPr>
          <w:p w14:paraId="4CFEF439">
            <w:pPr>
              <w:spacing w:line="240" w:lineRule="auto"/>
              <w:ind w:firstLine="0" w:firstLineChars="0"/>
              <w:rPr>
                <w:sz w:val="21"/>
                <w:szCs w:val="21"/>
              </w:rPr>
            </w:pPr>
            <w:r>
              <w:rPr>
                <w:sz w:val="21"/>
                <w:szCs w:val="21"/>
              </w:rPr>
              <w:t>工程机械旧机的拆解；工程机械再制造之运动部件的制作；工程机械再制造之整机制作装配；整机行走实验和性能测试</w:t>
            </w:r>
          </w:p>
        </w:tc>
        <w:tc>
          <w:tcPr>
            <w:tcW w:w="720" w:type="pct"/>
            <w:vAlign w:val="center"/>
          </w:tcPr>
          <w:p w14:paraId="0B4173E5">
            <w:pPr>
              <w:spacing w:line="240" w:lineRule="auto"/>
              <w:ind w:firstLine="0" w:firstLineChars="0"/>
              <w:rPr>
                <w:sz w:val="21"/>
                <w:szCs w:val="21"/>
              </w:rPr>
            </w:pPr>
            <w:r>
              <w:rPr>
                <w:sz w:val="21"/>
                <w:szCs w:val="21"/>
              </w:rPr>
              <w:t>通用设备制造业</w:t>
            </w:r>
          </w:p>
        </w:tc>
      </w:tr>
      <w:tr w14:paraId="33BD7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6A4AB5F9">
            <w:pPr>
              <w:spacing w:line="240" w:lineRule="auto"/>
              <w:ind w:firstLine="0" w:firstLineChars="0"/>
              <w:rPr>
                <w:sz w:val="21"/>
                <w:szCs w:val="21"/>
              </w:rPr>
            </w:pPr>
            <w:r>
              <w:rPr>
                <w:sz w:val="21"/>
                <w:szCs w:val="21"/>
              </w:rPr>
              <w:t>41</w:t>
            </w:r>
          </w:p>
        </w:tc>
        <w:tc>
          <w:tcPr>
            <w:tcW w:w="856" w:type="pct"/>
            <w:vAlign w:val="center"/>
          </w:tcPr>
          <w:p w14:paraId="0F66AD61">
            <w:pPr>
              <w:spacing w:line="240" w:lineRule="auto"/>
              <w:ind w:firstLine="0" w:firstLineChars="0"/>
              <w:rPr>
                <w:sz w:val="21"/>
                <w:szCs w:val="21"/>
              </w:rPr>
            </w:pPr>
            <w:r>
              <w:rPr>
                <w:sz w:val="21"/>
                <w:szCs w:val="21"/>
              </w:rPr>
              <w:t>包头市昭德机械制造有限责任公司</w:t>
            </w:r>
          </w:p>
        </w:tc>
        <w:tc>
          <w:tcPr>
            <w:tcW w:w="1388" w:type="pct"/>
            <w:vAlign w:val="center"/>
          </w:tcPr>
          <w:p w14:paraId="7492B7F6">
            <w:pPr>
              <w:spacing w:line="240" w:lineRule="auto"/>
              <w:ind w:firstLine="0" w:firstLineChars="0"/>
              <w:rPr>
                <w:sz w:val="21"/>
                <w:szCs w:val="21"/>
              </w:rPr>
            </w:pPr>
            <w:r>
              <w:rPr>
                <w:sz w:val="21"/>
                <w:szCs w:val="21"/>
              </w:rPr>
              <w:t>年产ZY8000矿用煤机设备（高强板电液压自动化高端支架、油缸及结构件等）1200架</w:t>
            </w:r>
          </w:p>
        </w:tc>
        <w:tc>
          <w:tcPr>
            <w:tcW w:w="1388" w:type="pct"/>
            <w:vAlign w:val="center"/>
          </w:tcPr>
          <w:p w14:paraId="22FB4358">
            <w:pPr>
              <w:spacing w:line="240" w:lineRule="auto"/>
              <w:ind w:firstLine="0" w:firstLineChars="0"/>
              <w:rPr>
                <w:sz w:val="21"/>
                <w:szCs w:val="21"/>
              </w:rPr>
            </w:pPr>
          </w:p>
        </w:tc>
        <w:tc>
          <w:tcPr>
            <w:tcW w:w="720" w:type="pct"/>
            <w:vAlign w:val="center"/>
          </w:tcPr>
          <w:p w14:paraId="2A2A45D0">
            <w:pPr>
              <w:spacing w:line="240" w:lineRule="auto"/>
              <w:ind w:firstLine="0" w:firstLineChars="0"/>
              <w:rPr>
                <w:sz w:val="21"/>
                <w:szCs w:val="21"/>
              </w:rPr>
            </w:pPr>
            <w:r>
              <w:rPr>
                <w:sz w:val="21"/>
                <w:szCs w:val="21"/>
              </w:rPr>
              <w:t>专用设备制造业</w:t>
            </w:r>
          </w:p>
        </w:tc>
      </w:tr>
      <w:tr w14:paraId="7F4A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44657E79">
            <w:pPr>
              <w:spacing w:line="240" w:lineRule="auto"/>
              <w:ind w:firstLine="0" w:firstLineChars="0"/>
              <w:rPr>
                <w:sz w:val="21"/>
                <w:szCs w:val="21"/>
              </w:rPr>
            </w:pPr>
            <w:r>
              <w:rPr>
                <w:sz w:val="21"/>
                <w:szCs w:val="21"/>
              </w:rPr>
              <w:t>42</w:t>
            </w:r>
          </w:p>
        </w:tc>
        <w:tc>
          <w:tcPr>
            <w:tcW w:w="856" w:type="pct"/>
            <w:vAlign w:val="center"/>
          </w:tcPr>
          <w:p w14:paraId="35F3CE23">
            <w:pPr>
              <w:spacing w:line="240" w:lineRule="auto"/>
              <w:ind w:firstLine="0" w:firstLineChars="0"/>
              <w:rPr>
                <w:sz w:val="21"/>
                <w:szCs w:val="21"/>
              </w:rPr>
            </w:pPr>
            <w:r>
              <w:rPr>
                <w:sz w:val="21"/>
                <w:szCs w:val="21"/>
              </w:rPr>
              <w:t>包头市宝来电机有限公司</w:t>
            </w:r>
          </w:p>
        </w:tc>
        <w:tc>
          <w:tcPr>
            <w:tcW w:w="1388" w:type="pct"/>
            <w:vAlign w:val="center"/>
          </w:tcPr>
          <w:p w14:paraId="1A7DC0B0">
            <w:pPr>
              <w:spacing w:line="240" w:lineRule="auto"/>
              <w:ind w:firstLine="0" w:firstLineChars="0"/>
              <w:rPr>
                <w:sz w:val="21"/>
                <w:szCs w:val="21"/>
              </w:rPr>
            </w:pPr>
            <w:r>
              <w:rPr>
                <w:sz w:val="21"/>
                <w:szCs w:val="21"/>
              </w:rPr>
              <w:t>年产稀土永磁电机5000台</w:t>
            </w:r>
          </w:p>
        </w:tc>
        <w:tc>
          <w:tcPr>
            <w:tcW w:w="1388" w:type="pct"/>
            <w:vAlign w:val="center"/>
          </w:tcPr>
          <w:p w14:paraId="5E4E47FD">
            <w:pPr>
              <w:spacing w:line="240" w:lineRule="auto"/>
              <w:ind w:firstLine="0" w:firstLineChars="0"/>
              <w:rPr>
                <w:sz w:val="21"/>
                <w:szCs w:val="21"/>
              </w:rPr>
            </w:pPr>
            <w:r>
              <w:rPr>
                <w:sz w:val="21"/>
                <w:szCs w:val="21"/>
              </w:rPr>
              <w:t>喷漆</w:t>
            </w:r>
          </w:p>
        </w:tc>
        <w:tc>
          <w:tcPr>
            <w:tcW w:w="720" w:type="pct"/>
            <w:vAlign w:val="center"/>
          </w:tcPr>
          <w:p w14:paraId="65544F57">
            <w:pPr>
              <w:spacing w:line="240" w:lineRule="auto"/>
              <w:ind w:firstLine="0" w:firstLineChars="0"/>
              <w:rPr>
                <w:sz w:val="21"/>
                <w:szCs w:val="21"/>
              </w:rPr>
            </w:pPr>
            <w:r>
              <w:rPr>
                <w:sz w:val="21"/>
                <w:szCs w:val="21"/>
              </w:rPr>
              <w:t>电气机械和器材制造业</w:t>
            </w:r>
          </w:p>
        </w:tc>
      </w:tr>
      <w:tr w14:paraId="202C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01FA42F8">
            <w:pPr>
              <w:spacing w:line="240" w:lineRule="auto"/>
              <w:ind w:firstLine="0" w:firstLineChars="0"/>
              <w:rPr>
                <w:sz w:val="21"/>
                <w:szCs w:val="21"/>
              </w:rPr>
            </w:pPr>
            <w:r>
              <w:rPr>
                <w:sz w:val="21"/>
                <w:szCs w:val="21"/>
              </w:rPr>
              <w:t>43</w:t>
            </w:r>
          </w:p>
        </w:tc>
        <w:tc>
          <w:tcPr>
            <w:tcW w:w="856" w:type="pct"/>
            <w:vAlign w:val="center"/>
          </w:tcPr>
          <w:p w14:paraId="33A6DC53">
            <w:pPr>
              <w:spacing w:line="240" w:lineRule="auto"/>
              <w:ind w:firstLine="0" w:firstLineChars="0"/>
              <w:rPr>
                <w:sz w:val="21"/>
                <w:szCs w:val="21"/>
              </w:rPr>
            </w:pPr>
            <w:r>
              <w:rPr>
                <w:sz w:val="21"/>
                <w:szCs w:val="21"/>
              </w:rPr>
              <w:t>内蒙古满途硅材料有限公司</w:t>
            </w:r>
          </w:p>
        </w:tc>
        <w:tc>
          <w:tcPr>
            <w:tcW w:w="1388" w:type="pct"/>
            <w:vAlign w:val="center"/>
          </w:tcPr>
          <w:p w14:paraId="18423814">
            <w:pPr>
              <w:spacing w:line="240" w:lineRule="auto"/>
              <w:ind w:firstLine="0" w:firstLineChars="0"/>
              <w:rPr>
                <w:sz w:val="21"/>
                <w:szCs w:val="21"/>
              </w:rPr>
            </w:pPr>
            <w:r>
              <w:rPr>
                <w:sz w:val="21"/>
                <w:szCs w:val="21"/>
              </w:rPr>
              <w:t>年产2万吨硅微粉</w:t>
            </w:r>
          </w:p>
        </w:tc>
        <w:tc>
          <w:tcPr>
            <w:tcW w:w="1388" w:type="pct"/>
            <w:vAlign w:val="center"/>
          </w:tcPr>
          <w:p w14:paraId="4D2206BD">
            <w:pPr>
              <w:spacing w:line="240" w:lineRule="auto"/>
              <w:ind w:firstLine="0" w:firstLineChars="0"/>
              <w:rPr>
                <w:sz w:val="21"/>
                <w:szCs w:val="21"/>
              </w:rPr>
            </w:pPr>
            <w:r>
              <w:rPr>
                <w:sz w:val="21"/>
                <w:szCs w:val="21"/>
              </w:rPr>
              <w:t>原料投入料仓，通过给料机，依次进入颚式破碎机、锤式破碎机和LX-2G破碎机破碎，破碎后的物料经筛分机筛分最终得到指定粒径范围的硅微粉产品。</w:t>
            </w:r>
          </w:p>
        </w:tc>
        <w:tc>
          <w:tcPr>
            <w:tcW w:w="720" w:type="pct"/>
            <w:vAlign w:val="center"/>
          </w:tcPr>
          <w:p w14:paraId="0D2ED08C">
            <w:pPr>
              <w:spacing w:line="240" w:lineRule="auto"/>
              <w:ind w:firstLine="0" w:firstLineChars="0"/>
              <w:rPr>
                <w:sz w:val="21"/>
                <w:szCs w:val="21"/>
              </w:rPr>
            </w:pPr>
            <w:r>
              <w:rPr>
                <w:sz w:val="21"/>
                <w:szCs w:val="21"/>
              </w:rPr>
              <w:t>非金属矿物制品业</w:t>
            </w:r>
          </w:p>
        </w:tc>
      </w:tr>
      <w:tr w14:paraId="3174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5A6007FB">
            <w:pPr>
              <w:spacing w:line="240" w:lineRule="auto"/>
              <w:ind w:firstLine="0" w:firstLineChars="0"/>
              <w:rPr>
                <w:sz w:val="21"/>
                <w:szCs w:val="21"/>
              </w:rPr>
            </w:pPr>
            <w:r>
              <w:rPr>
                <w:sz w:val="21"/>
                <w:szCs w:val="21"/>
              </w:rPr>
              <w:t>44</w:t>
            </w:r>
          </w:p>
        </w:tc>
        <w:tc>
          <w:tcPr>
            <w:tcW w:w="856" w:type="pct"/>
            <w:vAlign w:val="center"/>
          </w:tcPr>
          <w:p w14:paraId="6C7B5BBD">
            <w:pPr>
              <w:spacing w:line="240" w:lineRule="auto"/>
              <w:ind w:firstLine="0" w:firstLineChars="0"/>
              <w:rPr>
                <w:sz w:val="21"/>
                <w:szCs w:val="21"/>
              </w:rPr>
            </w:pPr>
            <w:r>
              <w:rPr>
                <w:sz w:val="21"/>
                <w:szCs w:val="21"/>
              </w:rPr>
              <w:t>包头鑫跃汽车零部件有限公司</w:t>
            </w:r>
          </w:p>
        </w:tc>
        <w:tc>
          <w:tcPr>
            <w:tcW w:w="1388" w:type="pct"/>
            <w:vAlign w:val="center"/>
          </w:tcPr>
          <w:p w14:paraId="62598FA6">
            <w:pPr>
              <w:spacing w:line="240" w:lineRule="auto"/>
              <w:ind w:firstLine="0" w:firstLineChars="0"/>
              <w:rPr>
                <w:sz w:val="21"/>
                <w:szCs w:val="21"/>
              </w:rPr>
            </w:pPr>
            <w:r>
              <w:rPr>
                <w:sz w:val="21"/>
                <w:szCs w:val="21"/>
              </w:rPr>
              <w:t>为北奔重汽生产 V3 保险杠、V3 护杠、V3 格栅、V3 上脚踏板、V3 导风罩、V3 下脚踏板等系列产品</w:t>
            </w:r>
          </w:p>
        </w:tc>
        <w:tc>
          <w:tcPr>
            <w:tcW w:w="1388" w:type="pct"/>
            <w:vAlign w:val="center"/>
          </w:tcPr>
          <w:p w14:paraId="1CC079F4">
            <w:pPr>
              <w:spacing w:line="240" w:lineRule="auto"/>
              <w:ind w:firstLine="0" w:firstLineChars="0"/>
              <w:rPr>
                <w:sz w:val="21"/>
                <w:szCs w:val="21"/>
              </w:rPr>
            </w:pPr>
            <w:r>
              <w:rPr>
                <w:sz w:val="21"/>
                <w:szCs w:val="21"/>
              </w:rPr>
              <w:t>注塑、喷漆、抛光、包装</w:t>
            </w:r>
          </w:p>
        </w:tc>
        <w:tc>
          <w:tcPr>
            <w:tcW w:w="720" w:type="pct"/>
            <w:vAlign w:val="center"/>
          </w:tcPr>
          <w:p w14:paraId="6F727DFE">
            <w:pPr>
              <w:spacing w:line="240" w:lineRule="auto"/>
              <w:ind w:firstLine="0" w:firstLineChars="0"/>
              <w:rPr>
                <w:sz w:val="21"/>
                <w:szCs w:val="21"/>
              </w:rPr>
            </w:pPr>
            <w:r>
              <w:rPr>
                <w:sz w:val="21"/>
                <w:szCs w:val="21"/>
              </w:rPr>
              <w:t>汽车制造业</w:t>
            </w:r>
          </w:p>
        </w:tc>
      </w:tr>
      <w:tr w14:paraId="27E4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1E62EEAA">
            <w:pPr>
              <w:spacing w:line="240" w:lineRule="auto"/>
              <w:ind w:firstLine="0" w:firstLineChars="0"/>
              <w:rPr>
                <w:sz w:val="21"/>
                <w:szCs w:val="21"/>
              </w:rPr>
            </w:pPr>
            <w:r>
              <w:rPr>
                <w:sz w:val="21"/>
                <w:szCs w:val="21"/>
              </w:rPr>
              <w:t>45</w:t>
            </w:r>
          </w:p>
        </w:tc>
        <w:tc>
          <w:tcPr>
            <w:tcW w:w="856" w:type="pct"/>
            <w:vAlign w:val="center"/>
          </w:tcPr>
          <w:p w14:paraId="1DD443C3">
            <w:pPr>
              <w:spacing w:line="240" w:lineRule="auto"/>
              <w:ind w:firstLine="0" w:firstLineChars="0"/>
              <w:rPr>
                <w:sz w:val="21"/>
                <w:szCs w:val="21"/>
              </w:rPr>
            </w:pPr>
            <w:r>
              <w:rPr>
                <w:sz w:val="21"/>
                <w:szCs w:val="21"/>
              </w:rPr>
              <w:t>北京联东投资（集团）有限公司联东U谷·青山智造谷项目</w:t>
            </w:r>
          </w:p>
        </w:tc>
        <w:tc>
          <w:tcPr>
            <w:tcW w:w="1388" w:type="pct"/>
            <w:vAlign w:val="center"/>
          </w:tcPr>
          <w:p w14:paraId="1B910AFB">
            <w:pPr>
              <w:spacing w:line="240" w:lineRule="auto"/>
              <w:ind w:firstLine="0" w:firstLineChars="0"/>
              <w:rPr>
                <w:sz w:val="21"/>
                <w:szCs w:val="21"/>
              </w:rPr>
            </w:pPr>
            <w:r>
              <w:rPr>
                <w:sz w:val="21"/>
                <w:szCs w:val="21"/>
              </w:rPr>
              <w:t>以引进应急智能装备产业为主导，重点引入行业龙头企业，专注于产品设计研发、终端制造及应用、精密仪器及设备等细分领域。</w:t>
            </w:r>
          </w:p>
        </w:tc>
        <w:tc>
          <w:tcPr>
            <w:tcW w:w="1388" w:type="pct"/>
            <w:vAlign w:val="center"/>
          </w:tcPr>
          <w:p w14:paraId="407E6D02">
            <w:pPr>
              <w:spacing w:line="240" w:lineRule="auto"/>
              <w:ind w:firstLine="0" w:firstLineChars="0"/>
              <w:rPr>
                <w:sz w:val="21"/>
                <w:szCs w:val="21"/>
              </w:rPr>
            </w:pPr>
          </w:p>
        </w:tc>
        <w:tc>
          <w:tcPr>
            <w:tcW w:w="720" w:type="pct"/>
            <w:vAlign w:val="center"/>
          </w:tcPr>
          <w:p w14:paraId="424826E4">
            <w:pPr>
              <w:spacing w:line="240" w:lineRule="auto"/>
              <w:ind w:firstLine="0" w:firstLineChars="0"/>
              <w:rPr>
                <w:sz w:val="21"/>
                <w:szCs w:val="21"/>
              </w:rPr>
            </w:pPr>
            <w:r>
              <w:rPr>
                <w:sz w:val="21"/>
                <w:szCs w:val="21"/>
              </w:rPr>
              <w:t>专用设备制造业</w:t>
            </w:r>
          </w:p>
        </w:tc>
      </w:tr>
      <w:tr w14:paraId="6785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pct"/>
            <w:vAlign w:val="center"/>
          </w:tcPr>
          <w:p w14:paraId="361D0FA6">
            <w:pPr>
              <w:spacing w:line="240" w:lineRule="auto"/>
              <w:ind w:firstLine="0" w:firstLineChars="0"/>
              <w:rPr>
                <w:sz w:val="21"/>
                <w:szCs w:val="21"/>
              </w:rPr>
            </w:pPr>
            <w:r>
              <w:rPr>
                <w:sz w:val="21"/>
                <w:szCs w:val="21"/>
              </w:rPr>
              <w:t>46</w:t>
            </w:r>
          </w:p>
        </w:tc>
        <w:tc>
          <w:tcPr>
            <w:tcW w:w="856" w:type="pct"/>
            <w:vAlign w:val="center"/>
          </w:tcPr>
          <w:p w14:paraId="127DB89B">
            <w:pPr>
              <w:spacing w:line="240" w:lineRule="auto"/>
              <w:ind w:firstLine="0" w:firstLineChars="0"/>
              <w:rPr>
                <w:sz w:val="21"/>
                <w:szCs w:val="21"/>
              </w:rPr>
            </w:pPr>
            <w:r>
              <w:rPr>
                <w:sz w:val="21"/>
                <w:szCs w:val="21"/>
              </w:rPr>
              <w:t>内蒙古雷晶硅碳科技发展有限公司</w:t>
            </w:r>
          </w:p>
        </w:tc>
        <w:tc>
          <w:tcPr>
            <w:tcW w:w="1388" w:type="pct"/>
            <w:vAlign w:val="center"/>
          </w:tcPr>
          <w:p w14:paraId="068880CF">
            <w:pPr>
              <w:spacing w:line="240" w:lineRule="auto"/>
              <w:ind w:firstLine="0" w:firstLineChars="0"/>
              <w:rPr>
                <w:sz w:val="21"/>
                <w:szCs w:val="21"/>
              </w:rPr>
            </w:pPr>
            <w:r>
              <w:rPr>
                <w:sz w:val="21"/>
                <w:szCs w:val="21"/>
              </w:rPr>
              <w:t>5万只石英坩埚</w:t>
            </w:r>
          </w:p>
        </w:tc>
        <w:tc>
          <w:tcPr>
            <w:tcW w:w="1388" w:type="pct"/>
            <w:vAlign w:val="center"/>
          </w:tcPr>
          <w:p w14:paraId="0E5A73F6">
            <w:pPr>
              <w:spacing w:line="240" w:lineRule="auto"/>
              <w:ind w:firstLine="0" w:firstLineChars="0"/>
              <w:rPr>
                <w:sz w:val="21"/>
                <w:szCs w:val="21"/>
              </w:rPr>
            </w:pPr>
          </w:p>
        </w:tc>
        <w:tc>
          <w:tcPr>
            <w:tcW w:w="720" w:type="pct"/>
            <w:vAlign w:val="center"/>
          </w:tcPr>
          <w:p w14:paraId="7F1FADF9">
            <w:pPr>
              <w:spacing w:line="240" w:lineRule="auto"/>
              <w:ind w:firstLine="0" w:firstLineChars="0"/>
              <w:rPr>
                <w:sz w:val="21"/>
                <w:szCs w:val="21"/>
              </w:rPr>
            </w:pPr>
            <w:r>
              <w:rPr>
                <w:sz w:val="21"/>
                <w:szCs w:val="21"/>
              </w:rPr>
              <w:t>非金属矿物制品业</w:t>
            </w:r>
          </w:p>
        </w:tc>
      </w:tr>
    </w:tbl>
    <w:p w14:paraId="11DA2AB7">
      <w:pPr>
        <w:pStyle w:val="95"/>
      </w:pPr>
      <w:bookmarkStart w:id="902" w:name="_Toc192675986"/>
      <w:bookmarkStart w:id="903" w:name="_Toc186205342"/>
      <w:bookmarkStart w:id="904" w:name="_Toc182320756"/>
      <w:r>
        <w:t>附表3 园区企业基本情况（北大科技园）</w:t>
      </w:r>
      <w:bookmarkEnd w:id="902"/>
      <w:bookmarkEnd w:id="903"/>
      <w:bookmarkEnd w:id="904"/>
    </w:p>
    <w:tbl>
      <w:tblPr>
        <w:tblStyle w:val="6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076"/>
        <w:gridCol w:w="7021"/>
      </w:tblGrid>
      <w:tr w14:paraId="7A91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488006A">
            <w:pPr>
              <w:spacing w:line="240" w:lineRule="auto"/>
              <w:ind w:firstLine="0" w:firstLineChars="0"/>
              <w:jc w:val="center"/>
              <w:rPr>
                <w:sz w:val="21"/>
                <w:szCs w:val="21"/>
              </w:rPr>
            </w:pPr>
            <w:r>
              <w:rPr>
                <w:sz w:val="21"/>
                <w:szCs w:val="21"/>
              </w:rPr>
              <w:t>序号</w:t>
            </w:r>
          </w:p>
        </w:tc>
        <w:tc>
          <w:tcPr>
            <w:tcW w:w="1771" w:type="dxa"/>
            <w:vAlign w:val="center"/>
          </w:tcPr>
          <w:p w14:paraId="741A25AB">
            <w:pPr>
              <w:spacing w:line="240" w:lineRule="auto"/>
              <w:ind w:firstLine="0" w:firstLineChars="0"/>
              <w:jc w:val="center"/>
              <w:rPr>
                <w:sz w:val="21"/>
                <w:szCs w:val="21"/>
              </w:rPr>
            </w:pPr>
            <w:r>
              <w:rPr>
                <w:sz w:val="21"/>
                <w:szCs w:val="21"/>
              </w:rPr>
              <w:t>企业名称</w:t>
            </w:r>
          </w:p>
        </w:tc>
        <w:tc>
          <w:tcPr>
            <w:tcW w:w="11687" w:type="dxa"/>
            <w:vAlign w:val="center"/>
          </w:tcPr>
          <w:p w14:paraId="642486BF">
            <w:pPr>
              <w:spacing w:line="240" w:lineRule="auto"/>
              <w:ind w:firstLine="0" w:firstLineChars="0"/>
              <w:jc w:val="center"/>
              <w:rPr>
                <w:sz w:val="21"/>
                <w:szCs w:val="21"/>
              </w:rPr>
            </w:pPr>
            <w:r>
              <w:rPr>
                <w:sz w:val="21"/>
                <w:szCs w:val="21"/>
              </w:rPr>
              <w:t>主要产品及经营类别</w:t>
            </w:r>
          </w:p>
        </w:tc>
      </w:tr>
      <w:tr w14:paraId="46E5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BDE4D1A">
            <w:pPr>
              <w:spacing w:line="240" w:lineRule="auto"/>
              <w:ind w:firstLine="0" w:firstLineChars="0"/>
              <w:jc w:val="center"/>
              <w:rPr>
                <w:sz w:val="21"/>
                <w:szCs w:val="21"/>
              </w:rPr>
            </w:pPr>
            <w:r>
              <w:rPr>
                <w:sz w:val="21"/>
                <w:szCs w:val="21"/>
              </w:rPr>
              <w:t>1</w:t>
            </w:r>
          </w:p>
        </w:tc>
        <w:tc>
          <w:tcPr>
            <w:tcW w:w="1771" w:type="dxa"/>
            <w:vAlign w:val="center"/>
          </w:tcPr>
          <w:p w14:paraId="0930E24D">
            <w:pPr>
              <w:spacing w:line="240" w:lineRule="auto"/>
              <w:ind w:firstLine="0" w:firstLineChars="0"/>
              <w:jc w:val="center"/>
              <w:rPr>
                <w:sz w:val="21"/>
                <w:szCs w:val="21"/>
              </w:rPr>
            </w:pPr>
            <w:r>
              <w:rPr>
                <w:sz w:val="21"/>
                <w:szCs w:val="21"/>
              </w:rPr>
              <w:t>包头市隆润源机电有限责任公司</w:t>
            </w:r>
          </w:p>
        </w:tc>
        <w:tc>
          <w:tcPr>
            <w:tcW w:w="11687" w:type="dxa"/>
            <w:vAlign w:val="center"/>
          </w:tcPr>
          <w:p w14:paraId="59644EF2">
            <w:pPr>
              <w:spacing w:line="240" w:lineRule="auto"/>
              <w:ind w:firstLine="0" w:firstLineChars="0"/>
              <w:jc w:val="center"/>
              <w:rPr>
                <w:sz w:val="21"/>
                <w:szCs w:val="21"/>
              </w:rPr>
            </w:pPr>
            <w:r>
              <w:rPr>
                <w:sz w:val="21"/>
                <w:szCs w:val="21"/>
              </w:rPr>
              <w:t>成立于2017年09月04日，机电产品、仪器仪表、五金、建材、日用百货、计算机配件及耗材、钢材、检化验设备的销售；胶管总成、气动元件、气动附件非标接头、液压管接头、管夹的设计、加工及销售；计算机技术咨询、技术服务；劳务服务（不含派遣和中介）</w:t>
            </w:r>
          </w:p>
        </w:tc>
      </w:tr>
      <w:tr w14:paraId="64A8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2A242E9">
            <w:pPr>
              <w:spacing w:line="240" w:lineRule="auto"/>
              <w:ind w:firstLine="0" w:firstLineChars="0"/>
              <w:jc w:val="center"/>
              <w:rPr>
                <w:sz w:val="21"/>
                <w:szCs w:val="21"/>
              </w:rPr>
            </w:pPr>
            <w:r>
              <w:rPr>
                <w:sz w:val="21"/>
                <w:szCs w:val="21"/>
              </w:rPr>
              <w:t>2</w:t>
            </w:r>
          </w:p>
        </w:tc>
        <w:tc>
          <w:tcPr>
            <w:tcW w:w="1771" w:type="dxa"/>
            <w:vAlign w:val="center"/>
          </w:tcPr>
          <w:p w14:paraId="7E9FE25B">
            <w:pPr>
              <w:spacing w:line="240" w:lineRule="auto"/>
              <w:ind w:firstLine="0" w:firstLineChars="0"/>
              <w:jc w:val="center"/>
              <w:rPr>
                <w:sz w:val="21"/>
                <w:szCs w:val="21"/>
              </w:rPr>
            </w:pPr>
            <w:r>
              <w:rPr>
                <w:sz w:val="21"/>
                <w:szCs w:val="21"/>
              </w:rPr>
              <w:t>包头市天芮医药有限责任公司</w:t>
            </w:r>
          </w:p>
        </w:tc>
        <w:tc>
          <w:tcPr>
            <w:tcW w:w="11687" w:type="dxa"/>
            <w:vAlign w:val="center"/>
          </w:tcPr>
          <w:p w14:paraId="1842C84F">
            <w:pPr>
              <w:spacing w:line="240" w:lineRule="auto"/>
              <w:ind w:firstLine="0" w:firstLineChars="0"/>
              <w:jc w:val="center"/>
              <w:rPr>
                <w:sz w:val="21"/>
                <w:szCs w:val="21"/>
              </w:rPr>
            </w:pPr>
            <w:r>
              <w:rPr>
                <w:sz w:val="21"/>
                <w:szCs w:val="21"/>
              </w:rPr>
              <w:t>公司于2011年03月22日在包头市九原区市场监督管理局登记成立，许可经营项目：中药材、中药饮片、中成药、化学药制剂、抗生素制剂、生化药品、生物制品、蛋白同化制剂、肽类激素（药品经营许可证许可范围和有效期限内经营）、医疗器械Ⅲ类、Ⅱ类（医疗器械经营企业许可证许可范围和有效期限内经营）的销售。</w:t>
            </w:r>
          </w:p>
        </w:tc>
      </w:tr>
      <w:tr w14:paraId="0C4F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2F74F33">
            <w:pPr>
              <w:spacing w:line="240" w:lineRule="auto"/>
              <w:ind w:firstLine="0" w:firstLineChars="0"/>
              <w:jc w:val="center"/>
              <w:rPr>
                <w:sz w:val="21"/>
                <w:szCs w:val="21"/>
              </w:rPr>
            </w:pPr>
            <w:r>
              <w:rPr>
                <w:sz w:val="21"/>
                <w:szCs w:val="21"/>
              </w:rPr>
              <w:t>3</w:t>
            </w:r>
          </w:p>
        </w:tc>
        <w:tc>
          <w:tcPr>
            <w:tcW w:w="1771" w:type="dxa"/>
            <w:vAlign w:val="center"/>
          </w:tcPr>
          <w:p w14:paraId="296AD25E">
            <w:pPr>
              <w:spacing w:line="240" w:lineRule="auto"/>
              <w:ind w:firstLine="0" w:firstLineChars="0"/>
              <w:jc w:val="center"/>
              <w:rPr>
                <w:sz w:val="21"/>
                <w:szCs w:val="21"/>
              </w:rPr>
            </w:pPr>
            <w:r>
              <w:rPr>
                <w:sz w:val="21"/>
                <w:szCs w:val="21"/>
              </w:rPr>
              <w:t>内蒙古标格检验检测有限公司</w:t>
            </w:r>
          </w:p>
        </w:tc>
        <w:tc>
          <w:tcPr>
            <w:tcW w:w="11687" w:type="dxa"/>
            <w:vAlign w:val="center"/>
          </w:tcPr>
          <w:p w14:paraId="32FA53D2">
            <w:pPr>
              <w:spacing w:line="240" w:lineRule="auto"/>
              <w:ind w:firstLine="0" w:firstLineChars="0"/>
              <w:jc w:val="center"/>
              <w:rPr>
                <w:sz w:val="21"/>
                <w:szCs w:val="21"/>
              </w:rPr>
            </w:pPr>
            <w:r>
              <w:rPr>
                <w:sz w:val="21"/>
                <w:szCs w:val="21"/>
              </w:rPr>
              <w:t>公司于2013年07月24日成立，环境检测；公共场所卫生检测；洁净室检测；室内环境检验检测；化工产品检测；农产品检测（以上各项凭资质证经营）。</w:t>
            </w:r>
          </w:p>
        </w:tc>
      </w:tr>
      <w:tr w14:paraId="66A2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FA9E44D">
            <w:pPr>
              <w:spacing w:line="240" w:lineRule="auto"/>
              <w:ind w:firstLine="0" w:firstLineChars="0"/>
              <w:jc w:val="center"/>
              <w:rPr>
                <w:sz w:val="21"/>
                <w:szCs w:val="21"/>
              </w:rPr>
            </w:pPr>
            <w:r>
              <w:rPr>
                <w:sz w:val="21"/>
                <w:szCs w:val="21"/>
              </w:rPr>
              <w:t>4</w:t>
            </w:r>
          </w:p>
        </w:tc>
        <w:tc>
          <w:tcPr>
            <w:tcW w:w="1771" w:type="dxa"/>
            <w:vAlign w:val="center"/>
          </w:tcPr>
          <w:p w14:paraId="1F3EF157">
            <w:pPr>
              <w:spacing w:line="240" w:lineRule="auto"/>
              <w:ind w:firstLine="0" w:firstLineChars="0"/>
              <w:jc w:val="center"/>
              <w:rPr>
                <w:sz w:val="21"/>
                <w:szCs w:val="21"/>
              </w:rPr>
            </w:pPr>
            <w:r>
              <w:rPr>
                <w:sz w:val="21"/>
                <w:szCs w:val="21"/>
              </w:rPr>
              <w:t>包头市塞北机械设备股份有限公司</w:t>
            </w:r>
          </w:p>
        </w:tc>
        <w:tc>
          <w:tcPr>
            <w:tcW w:w="11687" w:type="dxa"/>
            <w:vAlign w:val="center"/>
          </w:tcPr>
          <w:p w14:paraId="36392140">
            <w:pPr>
              <w:spacing w:line="240" w:lineRule="auto"/>
              <w:ind w:firstLine="0" w:firstLineChars="0"/>
              <w:jc w:val="center"/>
              <w:rPr>
                <w:sz w:val="21"/>
                <w:szCs w:val="21"/>
              </w:rPr>
            </w:pPr>
            <w:r>
              <w:rPr>
                <w:sz w:val="21"/>
                <w:szCs w:val="21"/>
              </w:rPr>
              <w:t>公司始建于2007年，位于包头市青山区装备制造产业园区B4路南侧。公司2015年整体改制为股份有限公司，2016年5月16日在全国中小企业股份转让系统（简称“新三板”）挂牌，股票简称“塞北股份”，股票代码“837422”。公司深刻领会了“军民融合发展”的重要论述，大力发展军民两用技术，凭借着技术积累，进入军品市场，成为民参军成功转型的民营企业。公司主要从事装甲车辆的传动系统、转向系统、行动系统等部件及总成的研发、制造和销售。公司获得军品“四证”、国家技术企业、自治区级企业研发中心等配套军品必备的相关资质。自2011年以来公司的多项核心技术产品已在部队实现批量列装，且公司惯例每年定期进行产品售后跟踪保障服务。</w:t>
            </w:r>
          </w:p>
        </w:tc>
      </w:tr>
      <w:tr w14:paraId="44CE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5B484D1">
            <w:pPr>
              <w:spacing w:line="240" w:lineRule="auto"/>
              <w:ind w:firstLine="0" w:firstLineChars="0"/>
              <w:jc w:val="center"/>
              <w:rPr>
                <w:sz w:val="21"/>
                <w:szCs w:val="21"/>
              </w:rPr>
            </w:pPr>
            <w:r>
              <w:rPr>
                <w:sz w:val="21"/>
                <w:szCs w:val="21"/>
              </w:rPr>
              <w:t>5</w:t>
            </w:r>
          </w:p>
        </w:tc>
        <w:tc>
          <w:tcPr>
            <w:tcW w:w="1771" w:type="dxa"/>
            <w:vAlign w:val="center"/>
          </w:tcPr>
          <w:p w14:paraId="5CA5F45E">
            <w:pPr>
              <w:spacing w:line="240" w:lineRule="auto"/>
              <w:ind w:firstLine="0" w:firstLineChars="0"/>
              <w:jc w:val="center"/>
              <w:rPr>
                <w:sz w:val="21"/>
                <w:szCs w:val="21"/>
              </w:rPr>
            </w:pPr>
            <w:r>
              <w:rPr>
                <w:sz w:val="21"/>
                <w:szCs w:val="21"/>
              </w:rPr>
              <w:t>包头怡光相模磁性材料有限公司</w:t>
            </w:r>
          </w:p>
        </w:tc>
        <w:tc>
          <w:tcPr>
            <w:tcW w:w="11687" w:type="dxa"/>
            <w:vAlign w:val="center"/>
          </w:tcPr>
          <w:p w14:paraId="0B24B2D0">
            <w:pPr>
              <w:spacing w:line="240" w:lineRule="auto"/>
              <w:ind w:firstLine="0" w:firstLineChars="0"/>
              <w:jc w:val="center"/>
              <w:rPr>
                <w:sz w:val="21"/>
                <w:szCs w:val="21"/>
              </w:rPr>
            </w:pPr>
            <w:r>
              <w:rPr>
                <w:sz w:val="21"/>
                <w:szCs w:val="21"/>
              </w:rPr>
              <w:t>公司成立于2018-11-29，经营范围包含：磁性材料的加工和销售;电子产品、机械设备、五金、金属制品的销售。</w:t>
            </w:r>
          </w:p>
        </w:tc>
      </w:tr>
      <w:tr w14:paraId="07CE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B4F6C58">
            <w:pPr>
              <w:spacing w:line="240" w:lineRule="auto"/>
              <w:ind w:firstLine="0" w:firstLineChars="0"/>
              <w:jc w:val="center"/>
              <w:rPr>
                <w:sz w:val="21"/>
                <w:szCs w:val="21"/>
              </w:rPr>
            </w:pPr>
            <w:r>
              <w:rPr>
                <w:sz w:val="21"/>
                <w:szCs w:val="21"/>
              </w:rPr>
              <w:t>6</w:t>
            </w:r>
          </w:p>
        </w:tc>
        <w:tc>
          <w:tcPr>
            <w:tcW w:w="1771" w:type="dxa"/>
            <w:vAlign w:val="center"/>
          </w:tcPr>
          <w:p w14:paraId="7B176378">
            <w:pPr>
              <w:spacing w:line="240" w:lineRule="auto"/>
              <w:ind w:firstLine="0" w:firstLineChars="0"/>
              <w:jc w:val="center"/>
              <w:rPr>
                <w:sz w:val="21"/>
                <w:szCs w:val="21"/>
              </w:rPr>
            </w:pPr>
            <w:r>
              <w:rPr>
                <w:sz w:val="21"/>
                <w:szCs w:val="21"/>
              </w:rPr>
              <w:t>内蒙古魁雯科技服务有限公司</w:t>
            </w:r>
          </w:p>
        </w:tc>
        <w:tc>
          <w:tcPr>
            <w:tcW w:w="11687" w:type="dxa"/>
            <w:vAlign w:val="center"/>
          </w:tcPr>
          <w:p w14:paraId="69058F61">
            <w:pPr>
              <w:spacing w:line="240" w:lineRule="auto"/>
              <w:ind w:firstLine="0" w:firstLineChars="0"/>
              <w:jc w:val="center"/>
              <w:rPr>
                <w:sz w:val="21"/>
                <w:szCs w:val="21"/>
              </w:rPr>
            </w:pPr>
            <w:r>
              <w:rPr>
                <w:sz w:val="21"/>
                <w:szCs w:val="21"/>
              </w:rPr>
              <w:t>公司成立于2020-01-15，经营范围包含：货物或技术进出口；电子商务（不含需审批项目）；电子和电工机械、冶金、建筑、安防、环保、模具、钻采专用设备及配件，工业自动测控及分析系统、海洋专用仪器、液态超高压技术产品及非标设备的设计、制造、安装、调试、维修；工量具、文教体育用品及机械零部件加工；环境保护、表面处理及热处理技术的工程应用、技术开发、技术咨询、技术转让</w:t>
            </w:r>
          </w:p>
        </w:tc>
      </w:tr>
      <w:tr w14:paraId="4367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785365C">
            <w:pPr>
              <w:spacing w:line="240" w:lineRule="auto"/>
              <w:ind w:firstLine="0" w:firstLineChars="0"/>
              <w:jc w:val="center"/>
              <w:rPr>
                <w:sz w:val="21"/>
                <w:szCs w:val="21"/>
              </w:rPr>
            </w:pPr>
            <w:r>
              <w:rPr>
                <w:sz w:val="21"/>
                <w:szCs w:val="21"/>
              </w:rPr>
              <w:t>7</w:t>
            </w:r>
          </w:p>
        </w:tc>
        <w:tc>
          <w:tcPr>
            <w:tcW w:w="1771" w:type="dxa"/>
            <w:vAlign w:val="center"/>
          </w:tcPr>
          <w:p w14:paraId="7A9C7B30">
            <w:pPr>
              <w:spacing w:line="240" w:lineRule="auto"/>
              <w:ind w:firstLine="0" w:firstLineChars="0"/>
              <w:jc w:val="center"/>
              <w:rPr>
                <w:sz w:val="21"/>
                <w:szCs w:val="21"/>
              </w:rPr>
            </w:pPr>
            <w:r>
              <w:rPr>
                <w:sz w:val="21"/>
                <w:szCs w:val="21"/>
              </w:rPr>
              <w:t>内蒙古蒙辉电子商务有限公司</w:t>
            </w:r>
          </w:p>
        </w:tc>
        <w:tc>
          <w:tcPr>
            <w:tcW w:w="11687" w:type="dxa"/>
            <w:vAlign w:val="center"/>
          </w:tcPr>
          <w:p w14:paraId="5BA48096">
            <w:pPr>
              <w:spacing w:line="240" w:lineRule="auto"/>
              <w:ind w:firstLine="0" w:firstLineChars="0"/>
              <w:jc w:val="center"/>
              <w:rPr>
                <w:sz w:val="21"/>
                <w:szCs w:val="21"/>
              </w:rPr>
            </w:pPr>
            <w:r>
              <w:rPr>
                <w:sz w:val="21"/>
                <w:szCs w:val="21"/>
              </w:rPr>
              <w:t>成立于2023-06-12，经营范围包含：一般项目：企业管理咨询；食品销售（仅销售预包装食品）；食品互联网销售（仅销售预包装食品）</w:t>
            </w:r>
          </w:p>
        </w:tc>
      </w:tr>
      <w:tr w14:paraId="00D6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B995E1C">
            <w:pPr>
              <w:spacing w:line="240" w:lineRule="auto"/>
              <w:ind w:firstLine="0" w:firstLineChars="0"/>
              <w:jc w:val="center"/>
              <w:rPr>
                <w:sz w:val="21"/>
                <w:szCs w:val="21"/>
              </w:rPr>
            </w:pPr>
            <w:r>
              <w:rPr>
                <w:sz w:val="21"/>
                <w:szCs w:val="21"/>
              </w:rPr>
              <w:t>8</w:t>
            </w:r>
          </w:p>
        </w:tc>
        <w:tc>
          <w:tcPr>
            <w:tcW w:w="1771" w:type="dxa"/>
            <w:vAlign w:val="center"/>
          </w:tcPr>
          <w:p w14:paraId="1BFDD3C8">
            <w:pPr>
              <w:spacing w:line="240" w:lineRule="auto"/>
              <w:ind w:firstLine="0" w:firstLineChars="0"/>
              <w:jc w:val="center"/>
              <w:rPr>
                <w:sz w:val="21"/>
                <w:szCs w:val="21"/>
              </w:rPr>
            </w:pPr>
            <w:r>
              <w:rPr>
                <w:sz w:val="21"/>
                <w:szCs w:val="21"/>
              </w:rPr>
              <w:t>山西美原齿科器械有限责任公司内蒙古分公司</w:t>
            </w:r>
          </w:p>
        </w:tc>
        <w:tc>
          <w:tcPr>
            <w:tcW w:w="11687" w:type="dxa"/>
            <w:vAlign w:val="center"/>
          </w:tcPr>
          <w:p w14:paraId="2AC7810F">
            <w:pPr>
              <w:spacing w:line="240" w:lineRule="auto"/>
              <w:ind w:firstLine="0" w:firstLineChars="0"/>
              <w:jc w:val="center"/>
              <w:rPr>
                <w:sz w:val="21"/>
                <w:szCs w:val="21"/>
              </w:rPr>
            </w:pPr>
            <w:r>
              <w:rPr>
                <w:sz w:val="21"/>
                <w:szCs w:val="21"/>
              </w:rPr>
              <w:t>公司成立于2016-12-12，经营范围包含：二类义齿加工；义齿加工技术的技术咨询、技术推广、技术服务、技术转让；会务会展；组织文化艺术交流活动；市场营销策划；医疗器械的销售、维修</w:t>
            </w:r>
          </w:p>
        </w:tc>
      </w:tr>
      <w:tr w14:paraId="72ED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02B476C">
            <w:pPr>
              <w:spacing w:line="240" w:lineRule="auto"/>
              <w:ind w:firstLine="0" w:firstLineChars="0"/>
              <w:jc w:val="center"/>
              <w:rPr>
                <w:sz w:val="21"/>
                <w:szCs w:val="21"/>
              </w:rPr>
            </w:pPr>
            <w:r>
              <w:rPr>
                <w:sz w:val="21"/>
                <w:szCs w:val="21"/>
              </w:rPr>
              <w:t>9</w:t>
            </w:r>
          </w:p>
        </w:tc>
        <w:tc>
          <w:tcPr>
            <w:tcW w:w="1771" w:type="dxa"/>
            <w:vAlign w:val="center"/>
          </w:tcPr>
          <w:p w14:paraId="4EBBD2C5">
            <w:pPr>
              <w:spacing w:line="240" w:lineRule="auto"/>
              <w:ind w:firstLine="0" w:firstLineChars="0"/>
              <w:jc w:val="center"/>
              <w:rPr>
                <w:sz w:val="21"/>
                <w:szCs w:val="21"/>
              </w:rPr>
            </w:pPr>
            <w:r>
              <w:rPr>
                <w:sz w:val="21"/>
                <w:szCs w:val="21"/>
              </w:rPr>
              <w:t>杭州汉创智能装备有限公司包头分公司</w:t>
            </w:r>
          </w:p>
        </w:tc>
        <w:tc>
          <w:tcPr>
            <w:tcW w:w="11687" w:type="dxa"/>
            <w:vAlign w:val="center"/>
          </w:tcPr>
          <w:p w14:paraId="134E7DDC">
            <w:pPr>
              <w:spacing w:line="240" w:lineRule="auto"/>
              <w:ind w:firstLine="0" w:firstLineChars="0"/>
              <w:jc w:val="center"/>
              <w:rPr>
                <w:sz w:val="21"/>
                <w:szCs w:val="21"/>
              </w:rPr>
            </w:pPr>
            <w:r>
              <w:rPr>
                <w:sz w:val="21"/>
                <w:szCs w:val="21"/>
              </w:rPr>
              <w:t>公司成立于2021-06-10，经营范围包含：专用设备修理；机械零件、零部件销售；技术服务、技术开发、技术咨询、技术交流、技术转让、技术推广。</w:t>
            </w:r>
          </w:p>
        </w:tc>
      </w:tr>
      <w:tr w14:paraId="381B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2DF9CA2">
            <w:pPr>
              <w:spacing w:line="240" w:lineRule="auto"/>
              <w:ind w:firstLine="0" w:firstLineChars="0"/>
              <w:jc w:val="center"/>
              <w:rPr>
                <w:sz w:val="21"/>
                <w:szCs w:val="21"/>
              </w:rPr>
            </w:pPr>
            <w:r>
              <w:rPr>
                <w:sz w:val="21"/>
                <w:szCs w:val="21"/>
              </w:rPr>
              <w:t>10</w:t>
            </w:r>
          </w:p>
        </w:tc>
        <w:tc>
          <w:tcPr>
            <w:tcW w:w="1771" w:type="dxa"/>
            <w:vAlign w:val="center"/>
          </w:tcPr>
          <w:p w14:paraId="1EAD0A08">
            <w:pPr>
              <w:spacing w:line="240" w:lineRule="auto"/>
              <w:ind w:firstLine="0" w:firstLineChars="0"/>
              <w:jc w:val="center"/>
              <w:rPr>
                <w:sz w:val="21"/>
                <w:szCs w:val="21"/>
              </w:rPr>
            </w:pPr>
            <w:r>
              <w:rPr>
                <w:sz w:val="21"/>
                <w:szCs w:val="21"/>
              </w:rPr>
              <w:t>内蒙古悦般科技有限责任公司</w:t>
            </w:r>
          </w:p>
        </w:tc>
        <w:tc>
          <w:tcPr>
            <w:tcW w:w="11687" w:type="dxa"/>
            <w:vAlign w:val="center"/>
          </w:tcPr>
          <w:p w14:paraId="270449A1">
            <w:pPr>
              <w:spacing w:line="240" w:lineRule="auto"/>
              <w:ind w:firstLine="0" w:firstLineChars="0"/>
              <w:jc w:val="center"/>
              <w:rPr>
                <w:sz w:val="21"/>
                <w:szCs w:val="21"/>
              </w:rPr>
            </w:pPr>
            <w:r>
              <w:rPr>
                <w:sz w:val="21"/>
                <w:szCs w:val="21"/>
              </w:rPr>
              <w:t>公司成立于2018-10-12，经营范围包含：一、二类医疗器械生产（凭许可证经营）；计算机软硬件开发、销售、租赁；网络技术推广、服务与咨询、安防工程智能系统开发、电子产品、机电产品销售，广告制作与发布。</w:t>
            </w:r>
          </w:p>
        </w:tc>
      </w:tr>
      <w:tr w14:paraId="38E7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A48DE85">
            <w:pPr>
              <w:spacing w:line="240" w:lineRule="auto"/>
              <w:ind w:firstLine="0" w:firstLineChars="0"/>
              <w:jc w:val="center"/>
              <w:rPr>
                <w:sz w:val="21"/>
                <w:szCs w:val="21"/>
              </w:rPr>
            </w:pPr>
            <w:r>
              <w:rPr>
                <w:sz w:val="21"/>
                <w:szCs w:val="21"/>
              </w:rPr>
              <w:t>11</w:t>
            </w:r>
          </w:p>
        </w:tc>
        <w:tc>
          <w:tcPr>
            <w:tcW w:w="1771" w:type="dxa"/>
            <w:vAlign w:val="center"/>
          </w:tcPr>
          <w:p w14:paraId="3B9816FD">
            <w:pPr>
              <w:spacing w:line="240" w:lineRule="auto"/>
              <w:ind w:firstLine="0" w:firstLineChars="0"/>
              <w:jc w:val="center"/>
              <w:rPr>
                <w:sz w:val="21"/>
                <w:szCs w:val="21"/>
              </w:rPr>
            </w:pPr>
            <w:r>
              <w:rPr>
                <w:sz w:val="21"/>
                <w:szCs w:val="21"/>
              </w:rPr>
              <w:t>包头市迪迦科技有限公司</w:t>
            </w:r>
          </w:p>
        </w:tc>
        <w:tc>
          <w:tcPr>
            <w:tcW w:w="11687" w:type="dxa"/>
            <w:vAlign w:val="center"/>
          </w:tcPr>
          <w:p w14:paraId="169AD6C0">
            <w:pPr>
              <w:spacing w:line="240" w:lineRule="auto"/>
              <w:ind w:firstLine="0" w:firstLineChars="0"/>
              <w:jc w:val="center"/>
              <w:rPr>
                <w:sz w:val="21"/>
                <w:szCs w:val="21"/>
              </w:rPr>
            </w:pPr>
            <w:r>
              <w:rPr>
                <w:sz w:val="21"/>
                <w:szCs w:val="21"/>
              </w:rPr>
              <w:t>公司成立于2020-03-15，经营范围包含：计算机软硬件技术、机器人技术的开发、转让、咨询服务；电子产品加工；计算机系统集成服务；网络工程；机电设备安装；机械设备、安防监控设备、机电设备、电子产品、汽车零部件。</w:t>
            </w:r>
          </w:p>
        </w:tc>
      </w:tr>
      <w:tr w14:paraId="2721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6DE2CB0">
            <w:pPr>
              <w:spacing w:line="240" w:lineRule="auto"/>
              <w:ind w:firstLine="0" w:firstLineChars="0"/>
              <w:jc w:val="center"/>
              <w:rPr>
                <w:sz w:val="21"/>
                <w:szCs w:val="21"/>
              </w:rPr>
            </w:pPr>
            <w:r>
              <w:rPr>
                <w:sz w:val="21"/>
                <w:szCs w:val="21"/>
              </w:rPr>
              <w:t>12</w:t>
            </w:r>
          </w:p>
        </w:tc>
        <w:tc>
          <w:tcPr>
            <w:tcW w:w="1771" w:type="dxa"/>
            <w:vAlign w:val="center"/>
          </w:tcPr>
          <w:p w14:paraId="5386F95E">
            <w:pPr>
              <w:spacing w:line="240" w:lineRule="auto"/>
              <w:ind w:firstLine="0" w:firstLineChars="0"/>
              <w:jc w:val="center"/>
              <w:rPr>
                <w:sz w:val="21"/>
                <w:szCs w:val="21"/>
              </w:rPr>
            </w:pPr>
            <w:r>
              <w:rPr>
                <w:sz w:val="21"/>
                <w:szCs w:val="21"/>
              </w:rPr>
              <w:t>内蒙古蒙之源线上商务有限公司</w:t>
            </w:r>
          </w:p>
        </w:tc>
        <w:tc>
          <w:tcPr>
            <w:tcW w:w="11687" w:type="dxa"/>
            <w:vAlign w:val="center"/>
          </w:tcPr>
          <w:p w14:paraId="0BEAE0FC">
            <w:pPr>
              <w:spacing w:line="240" w:lineRule="auto"/>
              <w:ind w:firstLine="0" w:firstLineChars="0"/>
              <w:jc w:val="center"/>
              <w:rPr>
                <w:sz w:val="21"/>
                <w:szCs w:val="21"/>
              </w:rPr>
            </w:pPr>
            <w:r>
              <w:rPr>
                <w:sz w:val="21"/>
                <w:szCs w:val="21"/>
              </w:rPr>
              <w:t>公司成立于2021-10-20，经营范围包含：食品互联网销售;食品销售;国内贸易代理;食品进出口;食品销售（仅销售预包装食品）;食品互联网销售（仅销售预包装食品）。</w:t>
            </w:r>
          </w:p>
        </w:tc>
      </w:tr>
      <w:tr w14:paraId="38FF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2B2E851">
            <w:pPr>
              <w:spacing w:line="240" w:lineRule="auto"/>
              <w:ind w:firstLine="0" w:firstLineChars="0"/>
              <w:jc w:val="center"/>
              <w:rPr>
                <w:sz w:val="21"/>
                <w:szCs w:val="21"/>
              </w:rPr>
            </w:pPr>
            <w:r>
              <w:rPr>
                <w:sz w:val="21"/>
                <w:szCs w:val="21"/>
              </w:rPr>
              <w:t>13</w:t>
            </w:r>
          </w:p>
        </w:tc>
        <w:tc>
          <w:tcPr>
            <w:tcW w:w="1771" w:type="dxa"/>
            <w:vAlign w:val="center"/>
          </w:tcPr>
          <w:p w14:paraId="6F75BCB6">
            <w:pPr>
              <w:spacing w:line="240" w:lineRule="auto"/>
              <w:ind w:firstLine="0" w:firstLineChars="0"/>
              <w:jc w:val="center"/>
              <w:rPr>
                <w:sz w:val="21"/>
                <w:szCs w:val="21"/>
              </w:rPr>
            </w:pPr>
            <w:r>
              <w:rPr>
                <w:sz w:val="21"/>
                <w:szCs w:val="21"/>
              </w:rPr>
              <w:t>内蒙古锦溪科技股份有限公司</w:t>
            </w:r>
          </w:p>
        </w:tc>
        <w:tc>
          <w:tcPr>
            <w:tcW w:w="11687" w:type="dxa"/>
            <w:vAlign w:val="center"/>
          </w:tcPr>
          <w:p w14:paraId="6FD8B12F">
            <w:pPr>
              <w:spacing w:line="240" w:lineRule="auto"/>
              <w:ind w:firstLine="0" w:firstLineChars="0"/>
              <w:jc w:val="center"/>
              <w:rPr>
                <w:sz w:val="21"/>
                <w:szCs w:val="21"/>
              </w:rPr>
            </w:pPr>
            <w:r>
              <w:rPr>
                <w:sz w:val="21"/>
                <w:szCs w:val="21"/>
              </w:rPr>
              <w:t>公司成立于2015-12-24，经营范围包含：电解铝及相关产业智能产品的设计、制造、销售；电解铝技术服务、技术推广；电解铝的固体废弃资源化应用研究；碳素制品、铝厂炼铝材料及衍生品的销售（危险品除外）</w:t>
            </w:r>
          </w:p>
        </w:tc>
      </w:tr>
      <w:tr w14:paraId="0838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BE1CE8E">
            <w:pPr>
              <w:spacing w:line="240" w:lineRule="auto"/>
              <w:ind w:firstLine="0" w:firstLineChars="0"/>
              <w:jc w:val="center"/>
              <w:rPr>
                <w:sz w:val="21"/>
                <w:szCs w:val="21"/>
              </w:rPr>
            </w:pPr>
            <w:r>
              <w:rPr>
                <w:sz w:val="21"/>
                <w:szCs w:val="21"/>
              </w:rPr>
              <w:t>14</w:t>
            </w:r>
          </w:p>
        </w:tc>
        <w:tc>
          <w:tcPr>
            <w:tcW w:w="1771" w:type="dxa"/>
            <w:vAlign w:val="center"/>
          </w:tcPr>
          <w:p w14:paraId="078E9985">
            <w:pPr>
              <w:spacing w:line="240" w:lineRule="auto"/>
              <w:ind w:firstLine="0" w:firstLineChars="0"/>
              <w:jc w:val="center"/>
              <w:rPr>
                <w:sz w:val="21"/>
                <w:szCs w:val="21"/>
              </w:rPr>
            </w:pPr>
            <w:r>
              <w:rPr>
                <w:sz w:val="21"/>
                <w:szCs w:val="21"/>
              </w:rPr>
              <w:t>内蒙古徐来新材料科技有限公司</w:t>
            </w:r>
          </w:p>
        </w:tc>
        <w:tc>
          <w:tcPr>
            <w:tcW w:w="11687" w:type="dxa"/>
            <w:vAlign w:val="center"/>
          </w:tcPr>
          <w:p w14:paraId="1619369D">
            <w:pPr>
              <w:spacing w:line="240" w:lineRule="auto"/>
              <w:ind w:firstLine="0" w:firstLineChars="0"/>
              <w:jc w:val="center"/>
              <w:rPr>
                <w:sz w:val="21"/>
                <w:szCs w:val="21"/>
              </w:rPr>
            </w:pPr>
            <w:r>
              <w:rPr>
                <w:sz w:val="21"/>
                <w:szCs w:val="21"/>
              </w:rPr>
              <w:t>公司成立于2019-11-18，经营范围包含：日用化学产品制造;专用化学产品制造（不含危险化学品）;光伏设备及元器件制造;环境保护专用设备制造;非金属矿物制品制造;日用化学产品销售;专用化学产品销售（不含危险化学品）。</w:t>
            </w:r>
          </w:p>
        </w:tc>
      </w:tr>
      <w:tr w14:paraId="141D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4D09528">
            <w:pPr>
              <w:spacing w:line="240" w:lineRule="auto"/>
              <w:ind w:firstLine="0" w:firstLineChars="0"/>
              <w:jc w:val="center"/>
              <w:rPr>
                <w:sz w:val="21"/>
                <w:szCs w:val="21"/>
              </w:rPr>
            </w:pPr>
            <w:r>
              <w:rPr>
                <w:sz w:val="21"/>
                <w:szCs w:val="21"/>
              </w:rPr>
              <w:t>15</w:t>
            </w:r>
          </w:p>
        </w:tc>
        <w:tc>
          <w:tcPr>
            <w:tcW w:w="1771" w:type="dxa"/>
            <w:vAlign w:val="center"/>
          </w:tcPr>
          <w:p w14:paraId="1341EB2F">
            <w:pPr>
              <w:spacing w:line="240" w:lineRule="auto"/>
              <w:ind w:firstLine="0" w:firstLineChars="0"/>
              <w:jc w:val="center"/>
              <w:rPr>
                <w:sz w:val="21"/>
                <w:szCs w:val="21"/>
              </w:rPr>
            </w:pPr>
            <w:r>
              <w:rPr>
                <w:sz w:val="21"/>
                <w:szCs w:val="21"/>
              </w:rPr>
              <w:t>广州极飞科技服务有限公司</w:t>
            </w:r>
          </w:p>
        </w:tc>
        <w:tc>
          <w:tcPr>
            <w:tcW w:w="11687" w:type="dxa"/>
            <w:vAlign w:val="center"/>
          </w:tcPr>
          <w:p w14:paraId="1B4FF97B">
            <w:pPr>
              <w:spacing w:line="240" w:lineRule="auto"/>
              <w:ind w:firstLine="0" w:firstLineChars="0"/>
              <w:jc w:val="center"/>
              <w:rPr>
                <w:sz w:val="21"/>
                <w:szCs w:val="21"/>
              </w:rPr>
            </w:pPr>
            <w:r>
              <w:rPr>
                <w:sz w:val="21"/>
                <w:szCs w:val="21"/>
              </w:rPr>
              <w:t>广州极飞科技股份有限公司 成立于2007年， 作为一家机器人和人工智能技术公司，极飞科技不断致力于用科技为农业赋能 ，一直致力于无人化农业的探索和研究 ，广州极飞科技是国家乡村振兴战略重点高新企业，是全球最大的农业无人机企业。 极飞科技将无人机、机器人、自动驾驶、人工智能、物联网等技术带进农业生产，通过构建无人化智慧农业生态，让农业进入自动化和精准的时代。</w:t>
            </w:r>
          </w:p>
        </w:tc>
      </w:tr>
      <w:tr w14:paraId="09E4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9BCD203">
            <w:pPr>
              <w:spacing w:line="240" w:lineRule="auto"/>
              <w:ind w:firstLine="0" w:firstLineChars="0"/>
              <w:jc w:val="center"/>
              <w:rPr>
                <w:sz w:val="21"/>
                <w:szCs w:val="21"/>
              </w:rPr>
            </w:pPr>
            <w:r>
              <w:rPr>
                <w:sz w:val="21"/>
                <w:szCs w:val="21"/>
              </w:rPr>
              <w:t>16</w:t>
            </w:r>
          </w:p>
        </w:tc>
        <w:tc>
          <w:tcPr>
            <w:tcW w:w="1771" w:type="dxa"/>
            <w:vAlign w:val="center"/>
          </w:tcPr>
          <w:p w14:paraId="5C53B640">
            <w:pPr>
              <w:spacing w:line="240" w:lineRule="auto"/>
              <w:ind w:firstLine="0" w:firstLineChars="0"/>
              <w:jc w:val="center"/>
              <w:rPr>
                <w:sz w:val="21"/>
                <w:szCs w:val="21"/>
              </w:rPr>
            </w:pPr>
            <w:r>
              <w:rPr>
                <w:sz w:val="21"/>
                <w:szCs w:val="21"/>
              </w:rPr>
              <w:t>宁夏晶创智能装备有限公司</w:t>
            </w:r>
          </w:p>
        </w:tc>
        <w:tc>
          <w:tcPr>
            <w:tcW w:w="11687" w:type="dxa"/>
            <w:vAlign w:val="center"/>
          </w:tcPr>
          <w:p w14:paraId="59D73E43">
            <w:pPr>
              <w:spacing w:line="240" w:lineRule="auto"/>
              <w:ind w:firstLine="0" w:firstLineChars="0"/>
              <w:jc w:val="center"/>
              <w:rPr>
                <w:sz w:val="21"/>
                <w:szCs w:val="21"/>
              </w:rPr>
            </w:pPr>
            <w:r>
              <w:rPr>
                <w:sz w:val="21"/>
                <w:szCs w:val="21"/>
              </w:rPr>
              <w:t>宁夏晶创智能装备有限公司，主要提供：半导体器件专用设备制造；电子专用设备制造；电子元器件与机电组件设备制造；专用设备制造；电力电子元器件制造；光伏设备及元器件制造；机械电气设备制造；机械设备销售；电气设备销售；智能机器人销售；智能基础制造装备销售；光伏设备及元器件销售；技术服务、技术开发、技术咨询、技术交流、技术转让、技术推广；机械零件、零部件加工；机械零件、零部件销售；专用设备修理；电子、机械设备维护</w:t>
            </w:r>
          </w:p>
        </w:tc>
      </w:tr>
      <w:tr w14:paraId="164F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C334409">
            <w:pPr>
              <w:spacing w:line="240" w:lineRule="auto"/>
              <w:ind w:firstLine="0" w:firstLineChars="0"/>
              <w:jc w:val="center"/>
              <w:rPr>
                <w:sz w:val="21"/>
                <w:szCs w:val="21"/>
              </w:rPr>
            </w:pPr>
            <w:r>
              <w:rPr>
                <w:sz w:val="21"/>
                <w:szCs w:val="21"/>
              </w:rPr>
              <w:t>17</w:t>
            </w:r>
          </w:p>
        </w:tc>
        <w:tc>
          <w:tcPr>
            <w:tcW w:w="1771" w:type="dxa"/>
            <w:vAlign w:val="center"/>
          </w:tcPr>
          <w:p w14:paraId="05B7C998">
            <w:pPr>
              <w:spacing w:line="240" w:lineRule="auto"/>
              <w:ind w:firstLine="0" w:firstLineChars="0"/>
              <w:jc w:val="center"/>
              <w:rPr>
                <w:sz w:val="21"/>
                <w:szCs w:val="21"/>
              </w:rPr>
            </w:pPr>
            <w:r>
              <w:rPr>
                <w:sz w:val="21"/>
                <w:szCs w:val="21"/>
              </w:rPr>
              <w:t>内蒙古蒙聚食品有限公司</w:t>
            </w:r>
          </w:p>
        </w:tc>
        <w:tc>
          <w:tcPr>
            <w:tcW w:w="11687" w:type="dxa"/>
            <w:vAlign w:val="center"/>
          </w:tcPr>
          <w:p w14:paraId="5A1A3CBE">
            <w:pPr>
              <w:spacing w:line="240" w:lineRule="auto"/>
              <w:ind w:firstLine="0" w:firstLineChars="0"/>
              <w:jc w:val="center"/>
              <w:rPr>
                <w:sz w:val="21"/>
                <w:szCs w:val="21"/>
              </w:rPr>
            </w:pPr>
            <w:r>
              <w:rPr>
                <w:sz w:val="21"/>
                <w:szCs w:val="21"/>
              </w:rPr>
              <w:t>内蒙古蒙聚食品有限公司成立于2022-03-03，注册资本为300万元人民币，统一社会信用代码为91150204MA7HAL3M6L，企业地址位于内蒙古自治区包头市青山区装备制造产业园区包头北大科技园2#厂房1层，所属行业为食品制造业，经营范围包含：食品生产;食品销售;粮油仓储服务;食品进出口;技术服务、技术开发、技术咨询、技术交流、技术转让、技术推广;互联网销售。</w:t>
            </w:r>
          </w:p>
        </w:tc>
      </w:tr>
      <w:tr w14:paraId="3E7D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05BE2AA">
            <w:pPr>
              <w:spacing w:line="240" w:lineRule="auto"/>
              <w:ind w:firstLine="0" w:firstLineChars="0"/>
              <w:jc w:val="center"/>
              <w:rPr>
                <w:sz w:val="21"/>
                <w:szCs w:val="21"/>
              </w:rPr>
            </w:pPr>
            <w:r>
              <w:rPr>
                <w:sz w:val="21"/>
                <w:szCs w:val="21"/>
              </w:rPr>
              <w:t>18</w:t>
            </w:r>
          </w:p>
        </w:tc>
        <w:tc>
          <w:tcPr>
            <w:tcW w:w="1771" w:type="dxa"/>
            <w:vAlign w:val="center"/>
          </w:tcPr>
          <w:p w14:paraId="020D9343">
            <w:pPr>
              <w:spacing w:line="240" w:lineRule="auto"/>
              <w:ind w:firstLine="0" w:firstLineChars="0"/>
              <w:jc w:val="center"/>
              <w:rPr>
                <w:sz w:val="21"/>
                <w:szCs w:val="21"/>
              </w:rPr>
            </w:pPr>
            <w:r>
              <w:rPr>
                <w:sz w:val="21"/>
                <w:szCs w:val="21"/>
              </w:rPr>
              <w:t>内蒙古锢德新材料有限公司</w:t>
            </w:r>
          </w:p>
        </w:tc>
        <w:tc>
          <w:tcPr>
            <w:tcW w:w="11687" w:type="dxa"/>
            <w:vAlign w:val="center"/>
          </w:tcPr>
          <w:p w14:paraId="435C45DD">
            <w:pPr>
              <w:spacing w:line="240" w:lineRule="auto"/>
              <w:ind w:firstLine="0" w:firstLineChars="0"/>
              <w:jc w:val="center"/>
              <w:rPr>
                <w:sz w:val="21"/>
                <w:szCs w:val="21"/>
              </w:rPr>
            </w:pPr>
            <w:r>
              <w:rPr>
                <w:sz w:val="21"/>
                <w:szCs w:val="21"/>
              </w:rPr>
              <w:t>内蒙古锢德新材料有限公司成立于2021-11-30，注册资本为100万元人民币，统一社会信用代码为91150204MA7DPHA247，企业地址位于内蒙古自治区包头市青山区包头装备制造产业园区世纪路东侧、G6高速路北侧北大科技园包头基地3-401，所属行业为其他制造业，经营范围包含：电子专用材料制造;电子专用材料销售;电子专用材料研发;光伏设备及元器件销售;太阳能热发电装备销售;新能源原动设备制造;光电子器件制造;半导体器件专用设备制造;半导体器件专用设备销售;技术玻璃制品销售;新材料技术研发;电气设备修理;办公用品销售;五金产品零售;劳动保护用品销售;包装材料及制品销售;金属材料销售;货物进出口;技术进出口。</w:t>
            </w:r>
          </w:p>
        </w:tc>
      </w:tr>
      <w:tr w14:paraId="0EE9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152CA48">
            <w:pPr>
              <w:spacing w:line="240" w:lineRule="auto"/>
              <w:ind w:firstLine="0" w:firstLineChars="0"/>
              <w:jc w:val="center"/>
              <w:rPr>
                <w:sz w:val="21"/>
                <w:szCs w:val="21"/>
              </w:rPr>
            </w:pPr>
            <w:r>
              <w:rPr>
                <w:sz w:val="21"/>
                <w:szCs w:val="21"/>
              </w:rPr>
              <w:t>19</w:t>
            </w:r>
          </w:p>
        </w:tc>
        <w:tc>
          <w:tcPr>
            <w:tcW w:w="1771" w:type="dxa"/>
            <w:vAlign w:val="center"/>
          </w:tcPr>
          <w:p w14:paraId="0FEF0ED3">
            <w:pPr>
              <w:spacing w:line="240" w:lineRule="auto"/>
              <w:ind w:firstLine="0" w:firstLineChars="0"/>
              <w:jc w:val="center"/>
              <w:rPr>
                <w:sz w:val="21"/>
                <w:szCs w:val="21"/>
              </w:rPr>
            </w:pPr>
            <w:r>
              <w:rPr>
                <w:sz w:val="21"/>
                <w:szCs w:val="21"/>
              </w:rPr>
              <w:t>上海越查信息科技有限公司</w:t>
            </w:r>
          </w:p>
        </w:tc>
        <w:tc>
          <w:tcPr>
            <w:tcW w:w="11687" w:type="dxa"/>
            <w:vAlign w:val="center"/>
          </w:tcPr>
          <w:p w14:paraId="6190E231">
            <w:pPr>
              <w:spacing w:line="240" w:lineRule="auto"/>
              <w:ind w:firstLine="0" w:firstLineChars="0"/>
              <w:jc w:val="center"/>
              <w:rPr>
                <w:sz w:val="21"/>
                <w:szCs w:val="21"/>
              </w:rPr>
            </w:pPr>
            <w:r>
              <w:rPr>
                <w:sz w:val="21"/>
                <w:szCs w:val="21"/>
              </w:rPr>
              <w:t>所属行业为软件和信息技术服务业，经营范围包含：从事信息、计算机科技领域内的技术开发、技术转让、技术咨询、技术服务，网络工程，电子商务（不得从事增值电信、金融业务），广告设计、制作、代理、发布，计算机软硬件及辅助设备、电子产品、五金交电、办公设备、通信设备、橡塑制品的销售。</w:t>
            </w:r>
          </w:p>
        </w:tc>
      </w:tr>
      <w:tr w14:paraId="0707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DFC9CCE">
            <w:pPr>
              <w:spacing w:line="240" w:lineRule="auto"/>
              <w:ind w:firstLine="0" w:firstLineChars="0"/>
              <w:jc w:val="center"/>
              <w:rPr>
                <w:sz w:val="21"/>
                <w:szCs w:val="21"/>
              </w:rPr>
            </w:pPr>
            <w:r>
              <w:rPr>
                <w:sz w:val="21"/>
                <w:szCs w:val="21"/>
              </w:rPr>
              <w:t>20</w:t>
            </w:r>
          </w:p>
        </w:tc>
        <w:tc>
          <w:tcPr>
            <w:tcW w:w="1771" w:type="dxa"/>
            <w:vAlign w:val="center"/>
          </w:tcPr>
          <w:p w14:paraId="0CFD4B1C">
            <w:pPr>
              <w:spacing w:line="240" w:lineRule="auto"/>
              <w:ind w:firstLine="0" w:firstLineChars="0"/>
              <w:jc w:val="center"/>
              <w:rPr>
                <w:sz w:val="21"/>
                <w:szCs w:val="21"/>
              </w:rPr>
            </w:pPr>
            <w:r>
              <w:rPr>
                <w:sz w:val="21"/>
                <w:szCs w:val="21"/>
              </w:rPr>
              <w:t>包头晶澳碳素科技有限公司</w:t>
            </w:r>
          </w:p>
        </w:tc>
        <w:tc>
          <w:tcPr>
            <w:tcW w:w="11687" w:type="dxa"/>
            <w:vAlign w:val="center"/>
          </w:tcPr>
          <w:p w14:paraId="7ED4297A">
            <w:pPr>
              <w:spacing w:line="240" w:lineRule="auto"/>
              <w:ind w:firstLine="0" w:firstLineChars="0"/>
              <w:jc w:val="center"/>
              <w:rPr>
                <w:sz w:val="21"/>
                <w:szCs w:val="21"/>
              </w:rPr>
            </w:pPr>
            <w:r>
              <w:rPr>
                <w:sz w:val="21"/>
                <w:szCs w:val="21"/>
              </w:rPr>
              <w:t>包头晶澳碳素科技有限公司成立于2022-04-22，注册资本为900万元人民币，统一社会信用代码为91150204MABLYJ29XN，企业地址位于内蒙古自治区包头市青山区装备制造园区新规划区世纪路1号北大科技园5#厂房一层、3#厂房三层，所属行业为科技推广和应用服务业，经营范围包含：一般项目:石墨及碳素制品制造;石墨及碳素制品销售;新材料技术研发;光伏设备及元器件制造;光伏设备及元器件销售;机械零件、零部件加工;机械零件、零部件销售;货物进出口;</w:t>
            </w:r>
          </w:p>
        </w:tc>
      </w:tr>
      <w:tr w14:paraId="17DB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BAC5480">
            <w:pPr>
              <w:spacing w:line="240" w:lineRule="auto"/>
              <w:ind w:firstLine="0" w:firstLineChars="0"/>
              <w:jc w:val="center"/>
              <w:rPr>
                <w:sz w:val="21"/>
                <w:szCs w:val="21"/>
              </w:rPr>
            </w:pPr>
            <w:r>
              <w:rPr>
                <w:sz w:val="21"/>
                <w:szCs w:val="21"/>
              </w:rPr>
              <w:t>21</w:t>
            </w:r>
          </w:p>
        </w:tc>
        <w:tc>
          <w:tcPr>
            <w:tcW w:w="1771" w:type="dxa"/>
            <w:vAlign w:val="center"/>
          </w:tcPr>
          <w:p w14:paraId="50BC1F8D">
            <w:pPr>
              <w:spacing w:line="240" w:lineRule="auto"/>
              <w:ind w:firstLine="0" w:firstLineChars="0"/>
              <w:jc w:val="center"/>
              <w:rPr>
                <w:sz w:val="21"/>
                <w:szCs w:val="21"/>
              </w:rPr>
            </w:pPr>
            <w:r>
              <w:rPr>
                <w:sz w:val="21"/>
                <w:szCs w:val="21"/>
              </w:rPr>
              <w:t>包头市琴韵阁乐器有限公司</w:t>
            </w:r>
          </w:p>
        </w:tc>
        <w:tc>
          <w:tcPr>
            <w:tcW w:w="11687" w:type="dxa"/>
            <w:vAlign w:val="center"/>
          </w:tcPr>
          <w:p w14:paraId="18C944CC">
            <w:pPr>
              <w:spacing w:line="240" w:lineRule="auto"/>
              <w:ind w:firstLine="0" w:firstLineChars="0"/>
              <w:jc w:val="center"/>
              <w:rPr>
                <w:sz w:val="21"/>
                <w:szCs w:val="21"/>
              </w:rPr>
            </w:pPr>
            <w:r>
              <w:rPr>
                <w:sz w:val="21"/>
                <w:szCs w:val="21"/>
              </w:rPr>
              <w:t>企业地址位于内蒙古自治区包头市青山区包头市装备制造产业园区包头世纪路东侧G6高速北侧北大科技园3#4楼401，所属行业为零售业，经营范围包含：一般项目：乐器零售；乐器维修、调试；文化用品设备出租。</w:t>
            </w:r>
          </w:p>
        </w:tc>
      </w:tr>
      <w:tr w14:paraId="397B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ECDDC7A">
            <w:pPr>
              <w:spacing w:line="240" w:lineRule="auto"/>
              <w:ind w:firstLine="0" w:firstLineChars="0"/>
              <w:jc w:val="center"/>
              <w:rPr>
                <w:sz w:val="21"/>
                <w:szCs w:val="21"/>
              </w:rPr>
            </w:pPr>
            <w:r>
              <w:rPr>
                <w:sz w:val="21"/>
                <w:szCs w:val="21"/>
              </w:rPr>
              <w:t>22</w:t>
            </w:r>
          </w:p>
        </w:tc>
        <w:tc>
          <w:tcPr>
            <w:tcW w:w="1771" w:type="dxa"/>
            <w:vAlign w:val="center"/>
          </w:tcPr>
          <w:p w14:paraId="06959032">
            <w:pPr>
              <w:spacing w:line="240" w:lineRule="auto"/>
              <w:ind w:firstLine="0" w:firstLineChars="0"/>
              <w:jc w:val="center"/>
              <w:rPr>
                <w:sz w:val="21"/>
                <w:szCs w:val="21"/>
              </w:rPr>
            </w:pPr>
            <w:r>
              <w:rPr>
                <w:sz w:val="21"/>
                <w:szCs w:val="21"/>
              </w:rPr>
              <w:t>包头市青山区财政局</w:t>
            </w:r>
          </w:p>
        </w:tc>
        <w:tc>
          <w:tcPr>
            <w:tcW w:w="11687" w:type="dxa"/>
            <w:vAlign w:val="center"/>
          </w:tcPr>
          <w:p w14:paraId="7EFE63A1">
            <w:pPr>
              <w:spacing w:line="240" w:lineRule="auto"/>
              <w:ind w:firstLine="0" w:firstLineChars="0"/>
              <w:jc w:val="center"/>
              <w:rPr>
                <w:sz w:val="21"/>
                <w:szCs w:val="21"/>
              </w:rPr>
            </w:pPr>
            <w:r>
              <w:rPr>
                <w:sz w:val="21"/>
                <w:szCs w:val="21"/>
              </w:rPr>
              <w:t>包头市青山区财政局固定资产公务舱</w:t>
            </w:r>
          </w:p>
        </w:tc>
      </w:tr>
      <w:tr w14:paraId="48EC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0B6068A">
            <w:pPr>
              <w:spacing w:line="240" w:lineRule="auto"/>
              <w:ind w:firstLine="0" w:firstLineChars="0"/>
              <w:jc w:val="center"/>
              <w:rPr>
                <w:sz w:val="21"/>
                <w:szCs w:val="21"/>
              </w:rPr>
            </w:pPr>
            <w:r>
              <w:rPr>
                <w:sz w:val="21"/>
                <w:szCs w:val="21"/>
              </w:rPr>
              <w:t>23</w:t>
            </w:r>
          </w:p>
        </w:tc>
        <w:tc>
          <w:tcPr>
            <w:tcW w:w="1771" w:type="dxa"/>
            <w:vAlign w:val="center"/>
          </w:tcPr>
          <w:p w14:paraId="150C9D6C">
            <w:pPr>
              <w:spacing w:line="240" w:lineRule="auto"/>
              <w:ind w:firstLine="0" w:firstLineChars="0"/>
              <w:jc w:val="center"/>
              <w:rPr>
                <w:sz w:val="21"/>
                <w:szCs w:val="21"/>
              </w:rPr>
            </w:pPr>
            <w:r>
              <w:rPr>
                <w:sz w:val="21"/>
                <w:szCs w:val="21"/>
              </w:rPr>
              <w:t>内蒙古包头市青山区年月中医医院有限公司</w:t>
            </w:r>
          </w:p>
        </w:tc>
        <w:tc>
          <w:tcPr>
            <w:tcW w:w="11687" w:type="dxa"/>
            <w:vAlign w:val="center"/>
          </w:tcPr>
          <w:p w14:paraId="1D3C967F">
            <w:pPr>
              <w:spacing w:line="240" w:lineRule="auto"/>
              <w:ind w:firstLine="0" w:firstLineChars="0"/>
              <w:jc w:val="center"/>
              <w:rPr>
                <w:sz w:val="21"/>
                <w:szCs w:val="21"/>
              </w:rPr>
            </w:pPr>
            <w:r>
              <w:rPr>
                <w:sz w:val="21"/>
                <w:szCs w:val="21"/>
              </w:rPr>
              <w:t>依托实体医院的互联网医院服务；医疗服务；药品批发；中药饮片代煎服务；药品生产；食品互联网销售；药品委托生产。</w:t>
            </w:r>
          </w:p>
        </w:tc>
      </w:tr>
      <w:tr w14:paraId="1790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798A1D5">
            <w:pPr>
              <w:spacing w:line="240" w:lineRule="auto"/>
              <w:ind w:firstLine="0" w:firstLineChars="0"/>
              <w:jc w:val="center"/>
              <w:rPr>
                <w:sz w:val="21"/>
                <w:szCs w:val="21"/>
              </w:rPr>
            </w:pPr>
            <w:r>
              <w:rPr>
                <w:sz w:val="21"/>
                <w:szCs w:val="21"/>
              </w:rPr>
              <w:t>24</w:t>
            </w:r>
          </w:p>
        </w:tc>
        <w:tc>
          <w:tcPr>
            <w:tcW w:w="1771" w:type="dxa"/>
            <w:vAlign w:val="center"/>
          </w:tcPr>
          <w:p w14:paraId="1090AC58">
            <w:pPr>
              <w:spacing w:line="240" w:lineRule="auto"/>
              <w:ind w:firstLine="0" w:firstLineChars="0"/>
              <w:jc w:val="center"/>
              <w:rPr>
                <w:sz w:val="21"/>
                <w:szCs w:val="21"/>
              </w:rPr>
            </w:pPr>
            <w:r>
              <w:rPr>
                <w:sz w:val="21"/>
                <w:szCs w:val="21"/>
              </w:rPr>
              <w:t>内蒙古蒙辉食品有限公司</w:t>
            </w:r>
          </w:p>
        </w:tc>
        <w:tc>
          <w:tcPr>
            <w:tcW w:w="11687" w:type="dxa"/>
            <w:vAlign w:val="center"/>
          </w:tcPr>
          <w:p w14:paraId="16842A86">
            <w:pPr>
              <w:spacing w:line="240" w:lineRule="auto"/>
              <w:ind w:firstLine="0" w:firstLineChars="0"/>
              <w:jc w:val="center"/>
              <w:rPr>
                <w:sz w:val="21"/>
                <w:szCs w:val="21"/>
              </w:rPr>
            </w:pPr>
            <w:r>
              <w:rPr>
                <w:sz w:val="21"/>
                <w:szCs w:val="21"/>
              </w:rPr>
              <w:t>内蒙古蒙辉食品有限公司成立于2018-10-24，注册资本为500万元人民币，统一社会信用代码为91150204MA13N06Y3Q，企业地址位于内蒙古自治区包头市青山区包头装备制造产业园区世纪路东侧、G6高速路北侧北大科技园包头基地4-201，所属行业为食品制造业，研发，经营范围包含：许可项目：食品生产；食品销售；食品互联网销售。</w:t>
            </w:r>
          </w:p>
        </w:tc>
      </w:tr>
      <w:tr w14:paraId="291F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2D6F185">
            <w:pPr>
              <w:spacing w:line="240" w:lineRule="auto"/>
              <w:ind w:firstLine="0" w:firstLineChars="0"/>
              <w:jc w:val="center"/>
              <w:rPr>
                <w:sz w:val="21"/>
                <w:szCs w:val="21"/>
              </w:rPr>
            </w:pPr>
            <w:r>
              <w:rPr>
                <w:sz w:val="21"/>
                <w:szCs w:val="21"/>
              </w:rPr>
              <w:t>25</w:t>
            </w:r>
          </w:p>
        </w:tc>
        <w:tc>
          <w:tcPr>
            <w:tcW w:w="1771" w:type="dxa"/>
            <w:vAlign w:val="center"/>
          </w:tcPr>
          <w:p w14:paraId="68E37BBA">
            <w:pPr>
              <w:spacing w:line="240" w:lineRule="auto"/>
              <w:ind w:firstLine="0" w:firstLineChars="0"/>
              <w:jc w:val="center"/>
              <w:rPr>
                <w:sz w:val="21"/>
                <w:szCs w:val="21"/>
              </w:rPr>
            </w:pPr>
            <w:r>
              <w:rPr>
                <w:sz w:val="21"/>
                <w:szCs w:val="21"/>
              </w:rPr>
              <w:t>包头市甘普源石油装备有限公司</w:t>
            </w:r>
          </w:p>
        </w:tc>
        <w:tc>
          <w:tcPr>
            <w:tcW w:w="11687" w:type="dxa"/>
            <w:vAlign w:val="center"/>
          </w:tcPr>
          <w:p w14:paraId="0CB6336B">
            <w:pPr>
              <w:spacing w:line="240" w:lineRule="auto"/>
              <w:ind w:firstLine="0" w:firstLineChars="0"/>
              <w:jc w:val="center"/>
              <w:rPr>
                <w:sz w:val="21"/>
                <w:szCs w:val="21"/>
              </w:rPr>
            </w:pPr>
            <w:r>
              <w:rPr>
                <w:sz w:val="21"/>
                <w:szCs w:val="21"/>
              </w:rPr>
              <w:t>包头市甘普源石油装备有限公司成立于2020-09-16，注册资本为1000万元人民币，统一社会信用代码为91150203MA0QU2JHXN，所属行业为石油装备，经营范围包含：石油专用管及相关配件的生产,销售及相关技术服务</w:t>
            </w:r>
          </w:p>
        </w:tc>
      </w:tr>
    </w:tbl>
    <w:p w14:paraId="6A696CDF">
      <w:pPr>
        <w:pStyle w:val="265"/>
        <w:ind w:firstLine="560"/>
        <w:rPr>
          <w:szCs w:val="28"/>
        </w:rPr>
        <w:sectPr>
          <w:type w:val="continuous"/>
          <w:pgSz w:w="11907" w:h="16840"/>
          <w:pgMar w:top="1440" w:right="1800" w:bottom="1440" w:left="1800" w:header="851" w:footer="992" w:gutter="0"/>
          <w:cols w:space="720" w:num="1"/>
          <w:docGrid w:linePitch="312" w:charSpace="0"/>
        </w:sectPr>
      </w:pPr>
      <w:bookmarkStart w:id="905" w:name="_Toc182320757"/>
      <w:bookmarkStart w:id="906" w:name="_Toc186205343"/>
    </w:p>
    <w:p w14:paraId="209D5235">
      <w:pPr>
        <w:ind w:firstLine="0" w:firstLineChars="0"/>
        <w:jc w:val="center"/>
        <w:rPr>
          <w:szCs w:val="28"/>
        </w:rPr>
      </w:pPr>
      <w:r>
        <w:drawing>
          <wp:inline distT="0" distB="0" distL="0" distR="0">
            <wp:extent cx="7529195" cy="4869815"/>
            <wp:effectExtent l="0" t="0" r="0" b="6985"/>
            <wp:docPr id="2" name="图片 2" descr="C:\Users\Administrator\AppData\Local\Temp\WeChat Files\f1814ff2d5209ce36e3e7bcf8b974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AppData\Local\Temp\WeChat Files\f1814ff2d5209ce36e3e7bcf8b974ca.jpg"/>
                    <pic:cNvPicPr>
                      <a:picLocks noChangeAspect="1" noChangeArrowheads="1"/>
                    </pic:cNvPicPr>
                  </pic:nvPicPr>
                  <pic:blipFill>
                    <a:blip r:embed="rId43" cstate="print">
                      <a:extLst>
                        <a:ext uri="{28A0092B-C50C-407E-A947-70E740481C1C}">
                          <a14:useLocalDpi xmlns:a14="http://schemas.microsoft.com/office/drawing/2010/main" val="0"/>
                        </a:ext>
                      </a:extLst>
                    </a:blip>
                    <a:srcRect l="18918" t="5968" r="12207" b="21978"/>
                    <a:stretch>
                      <a:fillRect/>
                    </a:stretch>
                  </pic:blipFill>
                  <pic:spPr>
                    <a:xfrm>
                      <a:off x="0" y="0"/>
                      <a:ext cx="7542409" cy="4878335"/>
                    </a:xfrm>
                    <a:prstGeom prst="rect">
                      <a:avLst/>
                    </a:prstGeom>
                    <a:noFill/>
                    <a:ln>
                      <a:noFill/>
                    </a:ln>
                  </pic:spPr>
                </pic:pic>
              </a:graphicData>
            </a:graphic>
          </wp:inline>
        </w:drawing>
      </w:r>
      <w:bookmarkEnd w:id="905"/>
      <w:bookmarkEnd w:id="906"/>
    </w:p>
    <w:p w14:paraId="1EA35DFD">
      <w:pPr>
        <w:pStyle w:val="95"/>
        <w:sectPr>
          <w:type w:val="continuous"/>
          <w:pgSz w:w="16840" w:h="11907" w:orient="landscape"/>
          <w:pgMar w:top="1797" w:right="1440" w:bottom="1797" w:left="1440" w:header="851" w:footer="992" w:gutter="0"/>
          <w:cols w:space="720" w:num="1"/>
          <w:docGrid w:linePitch="312" w:charSpace="0"/>
        </w:sectPr>
      </w:pPr>
      <w:bookmarkStart w:id="907" w:name="_Toc186205344"/>
      <w:bookmarkStart w:id="908" w:name="_Toc192675987"/>
      <w:bookmarkStart w:id="909" w:name="_Toc182320758"/>
      <w:r>
        <w:t>附图1 园区现有企业分布图</w:t>
      </w:r>
      <w:bookmarkEnd w:id="907"/>
      <w:bookmarkEnd w:id="908"/>
      <w:bookmarkEnd w:id="909"/>
    </w:p>
    <w:p w14:paraId="4D55A672">
      <w:pPr>
        <w:ind w:firstLine="0" w:firstLineChars="0"/>
        <w:jc w:val="center"/>
      </w:pPr>
      <w:r>
        <w:drawing>
          <wp:inline distT="0" distB="0" distL="0" distR="0">
            <wp:extent cx="4899660" cy="484441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4"/>
                    <a:stretch>
                      <a:fillRect/>
                    </a:stretch>
                  </pic:blipFill>
                  <pic:spPr>
                    <a:xfrm>
                      <a:off x="0" y="0"/>
                      <a:ext cx="4905477" cy="4850051"/>
                    </a:xfrm>
                    <a:prstGeom prst="rect">
                      <a:avLst/>
                    </a:prstGeom>
                  </pic:spPr>
                </pic:pic>
              </a:graphicData>
            </a:graphic>
          </wp:inline>
        </w:drawing>
      </w:r>
      <w:r>
        <w:t xml:space="preserve"> </w:t>
      </w:r>
      <w:r>
        <w:drawing>
          <wp:inline distT="0" distB="0" distL="0" distR="0">
            <wp:extent cx="5278755" cy="52235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5"/>
                    <a:stretch>
                      <a:fillRect/>
                    </a:stretch>
                  </pic:blipFill>
                  <pic:spPr>
                    <a:xfrm>
                      <a:off x="0" y="0"/>
                      <a:ext cx="5278755" cy="5223510"/>
                    </a:xfrm>
                    <a:prstGeom prst="rect">
                      <a:avLst/>
                    </a:prstGeom>
                  </pic:spPr>
                </pic:pic>
              </a:graphicData>
            </a:graphic>
          </wp:inline>
        </w:drawing>
      </w:r>
    </w:p>
    <w:p w14:paraId="424D7375">
      <w:pPr>
        <w:pStyle w:val="95"/>
        <w:rPr>
          <w:rFonts w:hint="eastAsia"/>
          <w:color w:val="000000" w:themeColor="text1"/>
          <w14:textFill>
            <w14:solidFill>
              <w14:schemeClr w14:val="tx1"/>
            </w14:solidFill>
          </w14:textFill>
        </w:rPr>
      </w:pPr>
      <w:r>
        <w:rPr>
          <w:rFonts w:hint="eastAsia"/>
        </w:rPr>
        <w:t>附图2</w:t>
      </w:r>
      <w:r>
        <w:t xml:space="preserve"> </w:t>
      </w:r>
      <w:r>
        <w:rPr>
          <w:rFonts w:hint="eastAsia"/>
        </w:rPr>
        <w:t>现有企业局部放大图</w:t>
      </w:r>
    </w:p>
    <w:sectPr>
      <w:type w:val="continuous"/>
      <w:pgSz w:w="11907" w:h="16840"/>
      <w:pgMar w:top="1440" w:right="1797" w:bottom="1440" w:left="1797" w:header="851" w:footer="992"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Garamond">
    <w:panose1 w:val="02020404030301010803"/>
    <w:charset w:val="00"/>
    <w:family w:val="roman"/>
    <w:pitch w:val="default"/>
    <w:sig w:usb0="00000287" w:usb1="00000000" w:usb2="00000000" w:usb3="00000000" w:csb0="0000009F" w:csb1="DFD70000"/>
  </w:font>
  <w:font w:name="方正宋三简体">
    <w:panose1 w:val="02010601030101010101"/>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宋体">
    <w:panose1 w:val="02010600030101010101"/>
    <w:charset w:val="86"/>
    <w:family w:val="auto"/>
    <w:pitch w:val="default"/>
    <w:sig w:usb0="00000203" w:usb1="288F0000" w:usb2="0000000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Univers">
    <w:altName w:val="Segoe Print"/>
    <w:panose1 w:val="020B060302020203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VnTime">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8C765">
    <w:pPr>
      <w:pStyle w:val="4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CCC47">
    <w:pPr>
      <w:pStyle w:val="4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4D67C">
    <w:pPr>
      <w:pStyle w:val="42"/>
      <w:ind w:firstLineChars="1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911E8">
    <w:pPr>
      <w:pStyle w:val="42"/>
      <w:ind w:firstLine="360"/>
      <w:jc w:val="center"/>
    </w:pPr>
    <w:r>
      <w:fldChar w:fldCharType="begin"/>
    </w:r>
    <w:r>
      <w:instrText xml:space="preserve"> PAGE   \* MERGEFORMAT </w:instrText>
    </w:r>
    <w:r>
      <w:fldChar w:fldCharType="separate"/>
    </w:r>
    <w:r>
      <w:rPr>
        <w:lang w:val="zh-CN"/>
      </w:rP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2EED8">
    <w:pPr>
      <w:pStyle w:val="42"/>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D2C7">
    <w:pPr>
      <w:pStyle w:val="42"/>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7168228"/>
      <w:docPartObj>
        <w:docPartGallery w:val="autotext"/>
      </w:docPartObj>
    </w:sdtPr>
    <w:sdtContent>
      <w:p w14:paraId="60FB7047">
        <w:pPr>
          <w:pStyle w:val="42"/>
          <w:ind w:firstLine="360"/>
          <w:jc w:val="center"/>
        </w:pPr>
        <w:r>
          <w:fldChar w:fldCharType="begin"/>
        </w:r>
        <w:r>
          <w:instrText xml:space="preserve">PAGE   \* MERGEFORMAT</w:instrText>
        </w:r>
        <w:r>
          <w:fldChar w:fldCharType="separate"/>
        </w:r>
        <w:r>
          <w:rPr>
            <w:lang w:val="zh-CN"/>
          </w:rPr>
          <w:t>104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E46EC">
    <w:pPr>
      <w:pStyle w:val="43"/>
      <w:ind w:firstLine="360"/>
    </w:pPr>
    <w:r>
      <w:rPr>
        <w:rFonts w:hint="eastAsia"/>
      </w:rPr>
      <w:t>内蒙古包头装备制造产业园区产业发展规划（20</w:t>
    </w:r>
    <w:r>
      <w:t>24</w:t>
    </w:r>
    <w:r>
      <w:rPr>
        <w:rFonts w:hint="eastAsia"/>
      </w:rPr>
      <w:t>～20</w:t>
    </w:r>
    <w:r>
      <w:t>35</w:t>
    </w:r>
    <w:r>
      <w:rPr>
        <w:rFonts w:hint="eastAsia"/>
      </w:rPr>
      <w:t>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2524">
    <w:pPr>
      <w:pStyle w:val="4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522ED">
    <w:pPr>
      <w:pStyle w:val="43"/>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1518A">
    <w:pPr>
      <w:pStyle w:val="43"/>
      <w:ind w:firstLine="420"/>
      <w:rPr>
        <w:sz w:val="21"/>
      </w:rPr>
    </w:pPr>
    <w:r>
      <w:rPr>
        <w:rFonts w:hint="eastAsia"/>
        <w:sz w:val="21"/>
      </w:rPr>
      <w:t>内蒙古包头装备制造产业园区产业发展规划（20</w:t>
    </w:r>
    <w:r>
      <w:rPr>
        <w:sz w:val="21"/>
      </w:rPr>
      <w:t>24</w:t>
    </w:r>
    <w:r>
      <w:rPr>
        <w:rFonts w:hint="eastAsia"/>
        <w:sz w:val="21"/>
      </w:rPr>
      <w:t>～20</w:t>
    </w:r>
    <w:r>
      <w:rPr>
        <w:sz w:val="21"/>
      </w:rPr>
      <w:t>35</w:t>
    </w:r>
    <w:r>
      <w:rPr>
        <w:rFonts w:hint="eastAsia"/>
        <w:sz w:val="21"/>
      </w:rPr>
      <w:t>年）</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A88E0">
    <w:pPr>
      <w:pStyle w:val="43"/>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E29FF">
    <w:pPr>
      <w:pStyle w:val="4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DF2990"/>
    <w:multiLevelType w:val="multilevel"/>
    <w:tmpl w:val="16DF2990"/>
    <w:lvl w:ilvl="0" w:tentative="0">
      <w:start w:val="1"/>
      <w:numFmt w:val="decimal"/>
      <w:lvlText w:val="%1"/>
      <w:lvlJc w:val="left"/>
      <w:pPr>
        <w:tabs>
          <w:tab w:val="left" w:pos="858"/>
        </w:tabs>
        <w:ind w:left="858" w:hanging="432"/>
      </w:pPr>
    </w:lvl>
    <w:lvl w:ilvl="1" w:tentative="0">
      <w:start w:val="1"/>
      <w:numFmt w:val="decimal"/>
      <w:lvlText w:val="%1.%2"/>
      <w:lvlJc w:val="left"/>
      <w:pPr>
        <w:tabs>
          <w:tab w:val="left" w:pos="1427"/>
        </w:tabs>
        <w:ind w:left="1427" w:hanging="576"/>
      </w:pPr>
    </w:lvl>
    <w:lvl w:ilvl="2" w:tentative="0">
      <w:start w:val="1"/>
      <w:numFmt w:val="decimal"/>
      <w:lvlText w:val="%1.%2.%3"/>
      <w:lvlJc w:val="left"/>
      <w:pPr>
        <w:tabs>
          <w:tab w:val="left" w:pos="1146"/>
        </w:tabs>
        <w:ind w:left="1146" w:hanging="720"/>
      </w:pPr>
    </w:lvl>
    <w:lvl w:ilvl="3" w:tentative="0">
      <w:start w:val="1"/>
      <w:numFmt w:val="decimal"/>
      <w:lvlText w:val="%1.%2.%3.%4"/>
      <w:lvlJc w:val="left"/>
      <w:pPr>
        <w:tabs>
          <w:tab w:val="left" w:pos="1516"/>
        </w:tabs>
        <w:ind w:left="1516" w:hanging="864"/>
      </w:pPr>
    </w:lvl>
    <w:lvl w:ilvl="4" w:tentative="0">
      <w:start w:val="1"/>
      <w:numFmt w:val="decimal"/>
      <w:lvlText w:val="%1.%2.%3.%4.%5"/>
      <w:lvlJc w:val="left"/>
      <w:pPr>
        <w:tabs>
          <w:tab w:val="left" w:pos="1660"/>
        </w:tabs>
        <w:ind w:left="1660" w:hanging="1008"/>
      </w:pPr>
    </w:lvl>
    <w:lvl w:ilvl="5" w:tentative="0">
      <w:start w:val="1"/>
      <w:numFmt w:val="decimal"/>
      <w:lvlText w:val="%1.%2.%3.%4.%5.%6"/>
      <w:lvlJc w:val="left"/>
      <w:pPr>
        <w:tabs>
          <w:tab w:val="left" w:pos="1804"/>
        </w:tabs>
        <w:ind w:left="1804" w:hanging="1152"/>
      </w:pPr>
    </w:lvl>
    <w:lvl w:ilvl="6" w:tentative="0">
      <w:start w:val="1"/>
      <w:numFmt w:val="decimal"/>
      <w:lvlText w:val="%1.%2.%3.%4.%5.%6.%7"/>
      <w:lvlJc w:val="left"/>
      <w:pPr>
        <w:tabs>
          <w:tab w:val="left" w:pos="1948"/>
        </w:tabs>
        <w:ind w:left="1948" w:hanging="1296"/>
      </w:pPr>
    </w:lvl>
    <w:lvl w:ilvl="7" w:tentative="0">
      <w:start w:val="1"/>
      <w:numFmt w:val="decimal"/>
      <w:lvlText w:val="%1.%2.%3.%4.%5.%6.%7.%8"/>
      <w:lvlJc w:val="left"/>
      <w:pPr>
        <w:tabs>
          <w:tab w:val="left" w:pos="2092"/>
        </w:tabs>
        <w:ind w:left="2092" w:hanging="1440"/>
      </w:pPr>
    </w:lvl>
    <w:lvl w:ilvl="8" w:tentative="0">
      <w:start w:val="1"/>
      <w:numFmt w:val="decimal"/>
      <w:lvlText w:val="%1.%2.%3.%4.%5.%6.%7.%8.%9"/>
      <w:lvlJc w:val="left"/>
      <w:pPr>
        <w:tabs>
          <w:tab w:val="left" w:pos="2236"/>
        </w:tabs>
        <w:ind w:left="2236" w:hanging="1584"/>
      </w:pPr>
    </w:lvl>
  </w:abstractNum>
  <w:abstractNum w:abstractNumId="1">
    <w:nsid w:val="28657263"/>
    <w:multiLevelType w:val="multilevel"/>
    <w:tmpl w:val="28657263"/>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567" w:firstLine="0"/>
      </w:pPr>
      <w:rPr>
        <w:rFonts w:hint="eastAsia"/>
        <w:sz w:val="30"/>
        <w:szCs w:val="3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357514F0"/>
    <w:multiLevelType w:val="multilevel"/>
    <w:tmpl w:val="357514F0"/>
    <w:lvl w:ilvl="0" w:tentative="0">
      <w:start w:val="3"/>
      <w:numFmt w:val="chineseCounting"/>
      <w:pStyle w:val="2"/>
      <w:suff w:val="space"/>
      <w:lvlText w:val="第%1章"/>
      <w:lvlJc w:val="left"/>
      <w:pPr>
        <w:ind w:left="0" w:firstLine="0"/>
      </w:pPr>
      <w:rPr>
        <w:rFonts w:hint="default" w:ascii="Times New Roman" w:hAnsi="Times New Roman" w:cs="Times New Roman"/>
      </w:rPr>
    </w:lvl>
    <w:lvl w:ilvl="1" w:tentative="0">
      <w:start w:val="1"/>
      <w:numFmt w:val="decimal"/>
      <w:pStyle w:val="3"/>
      <w:lvlText w:val="%2."/>
      <w:lvlJc w:val="left"/>
      <w:pPr>
        <w:tabs>
          <w:tab w:val="left" w:pos="1440"/>
        </w:tabs>
        <w:ind w:left="1440" w:hanging="360"/>
      </w:pPr>
    </w:lvl>
    <w:lvl w:ilvl="2" w:tentative="0">
      <w:start w:val="1"/>
      <w:numFmt w:val="decimal"/>
      <w:pStyle w:val="4"/>
      <w:lvlText w:val="%3."/>
      <w:lvlJc w:val="left"/>
      <w:pPr>
        <w:tabs>
          <w:tab w:val="left" w:pos="2160"/>
        </w:tabs>
        <w:ind w:left="2160" w:hanging="360"/>
      </w:pPr>
    </w:lvl>
    <w:lvl w:ilvl="3" w:tentative="0">
      <w:start w:val="1"/>
      <w:numFmt w:val="decimal"/>
      <w:pStyle w:val="5"/>
      <w:lvlText w:val="%4."/>
      <w:lvlJc w:val="left"/>
      <w:pPr>
        <w:tabs>
          <w:tab w:val="left" w:pos="2880"/>
        </w:tabs>
        <w:ind w:left="2880" w:hanging="360"/>
      </w:pPr>
    </w:lvl>
    <w:lvl w:ilvl="4" w:tentative="0">
      <w:start w:val="1"/>
      <w:numFmt w:val="decimal"/>
      <w:pStyle w:val="6"/>
      <w:lvlText w:val="%5."/>
      <w:lvlJc w:val="left"/>
      <w:pPr>
        <w:tabs>
          <w:tab w:val="left" w:pos="3600"/>
        </w:tabs>
        <w:ind w:left="3600" w:hanging="360"/>
      </w:pPr>
    </w:lvl>
    <w:lvl w:ilvl="5" w:tentative="0">
      <w:start w:val="1"/>
      <w:numFmt w:val="decimal"/>
      <w:pStyle w:val="7"/>
      <w:lvlText w:val="%6."/>
      <w:lvlJc w:val="left"/>
      <w:pPr>
        <w:tabs>
          <w:tab w:val="left" w:pos="4320"/>
        </w:tabs>
        <w:ind w:left="4320" w:hanging="360"/>
      </w:pPr>
    </w:lvl>
    <w:lvl w:ilvl="6" w:tentative="0">
      <w:start w:val="1"/>
      <w:numFmt w:val="decimal"/>
      <w:pStyle w:val="9"/>
      <w:lvlText w:val="%7."/>
      <w:lvlJc w:val="left"/>
      <w:pPr>
        <w:tabs>
          <w:tab w:val="left" w:pos="5040"/>
        </w:tabs>
        <w:ind w:left="5040" w:hanging="360"/>
      </w:pPr>
    </w:lvl>
    <w:lvl w:ilvl="7" w:tentative="0">
      <w:start w:val="1"/>
      <w:numFmt w:val="decimal"/>
      <w:pStyle w:val="10"/>
      <w:lvlText w:val="%8."/>
      <w:lvlJc w:val="left"/>
      <w:pPr>
        <w:tabs>
          <w:tab w:val="left" w:pos="5760"/>
        </w:tabs>
        <w:ind w:left="5760" w:hanging="360"/>
      </w:pPr>
    </w:lvl>
    <w:lvl w:ilvl="8" w:tentative="0">
      <w:start w:val="1"/>
      <w:numFmt w:val="decimal"/>
      <w:pStyle w:val="11"/>
      <w:lvlText w:val="%9."/>
      <w:lvlJc w:val="left"/>
      <w:pPr>
        <w:tabs>
          <w:tab w:val="left" w:pos="6480"/>
        </w:tabs>
        <w:ind w:left="6480" w:hanging="360"/>
      </w:pPr>
    </w:lvl>
  </w:abstractNum>
  <w:abstractNum w:abstractNumId="3">
    <w:nsid w:val="456D24C1"/>
    <w:multiLevelType w:val="multilevel"/>
    <w:tmpl w:val="456D24C1"/>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567" w:firstLine="0"/>
      </w:pPr>
      <w:rPr>
        <w:rFonts w:hint="eastAsia"/>
        <w:sz w:val="30"/>
        <w:szCs w:val="30"/>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5CBA16D3"/>
    <w:multiLevelType w:val="multilevel"/>
    <w:tmpl w:val="5CBA16D3"/>
    <w:lvl w:ilvl="0" w:tentative="0">
      <w:start w:val="1"/>
      <w:numFmt w:val="bullet"/>
      <w:lvlText w:val=""/>
      <w:lvlJc w:val="left"/>
      <w:pPr>
        <w:ind w:left="900" w:hanging="420"/>
      </w:pPr>
      <w:rPr>
        <w:rFonts w:hint="default" w:ascii="Wingdings" w:hAnsi="Wingdings"/>
      </w:rPr>
    </w:lvl>
    <w:lvl w:ilvl="1" w:tentative="0">
      <w:start w:val="1"/>
      <w:numFmt w:val="bullet"/>
      <w:pStyle w:val="128"/>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75174191"/>
    <w:multiLevelType w:val="multilevel"/>
    <w:tmpl w:val="75174191"/>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rPr>
        <w:sz w:val="30"/>
        <w:szCs w:val="30"/>
      </w:r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76723A24"/>
    <w:multiLevelType w:val="multilevel"/>
    <w:tmpl w:val="76723A24"/>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lvlOverride w:ilvl="0">
      <w:lvl w:ilvl="0" w:tentative="1">
        <w:start w:val="1"/>
        <w:numFmt w:val="decimal"/>
        <w:pStyle w:val="130"/>
        <w:lvlText w:val="%1"/>
        <w:lvlJc w:val="left"/>
        <w:pPr>
          <w:tabs>
            <w:tab w:val="left" w:pos="858"/>
          </w:tabs>
          <w:ind w:left="858" w:hanging="432"/>
        </w:pPr>
      </w:lvl>
    </w:lvlOverride>
    <w:lvlOverride w:ilvl="1">
      <w:lvl w:ilvl="1" w:tentative="1">
        <w:start w:val="1"/>
        <w:numFmt w:val="decimal"/>
        <w:pStyle w:val="131"/>
        <w:lvlText w:val="%1.%2"/>
        <w:lvlJc w:val="left"/>
        <w:pPr>
          <w:tabs>
            <w:tab w:val="left" w:pos="1427"/>
          </w:tabs>
          <w:ind w:left="1427" w:hanging="576"/>
        </w:pPr>
      </w:lvl>
    </w:lvlOverride>
    <w:lvlOverride w:ilvl="2">
      <w:lvl w:ilvl="2" w:tentative="1">
        <w:start w:val="1"/>
        <w:numFmt w:val="decimal"/>
        <w:lvlText w:val="%1.%2.%3"/>
        <w:lvlJc w:val="left"/>
        <w:pPr>
          <w:tabs>
            <w:tab w:val="left" w:pos="1997"/>
          </w:tabs>
          <w:ind w:left="1997" w:hanging="720"/>
        </w:pPr>
      </w:lvl>
    </w:lvlOverride>
    <w:lvlOverride w:ilvl="3">
      <w:lvl w:ilvl="3" w:tentative="1">
        <w:start w:val="1"/>
        <w:numFmt w:val="decimal"/>
        <w:lvlText w:val="%1.%2.%3.%4"/>
        <w:lvlJc w:val="left"/>
        <w:pPr>
          <w:tabs>
            <w:tab w:val="left" w:pos="1516"/>
          </w:tabs>
          <w:ind w:left="1516" w:hanging="864"/>
        </w:pPr>
      </w:lvl>
    </w:lvlOverride>
    <w:lvlOverride w:ilvl="4">
      <w:lvl w:ilvl="4" w:tentative="1">
        <w:start w:val="1"/>
        <w:numFmt w:val="decimal"/>
        <w:pStyle w:val="136"/>
        <w:lvlText w:val="%1.%2.%3.%4.%5"/>
        <w:lvlJc w:val="left"/>
        <w:pPr>
          <w:tabs>
            <w:tab w:val="left" w:pos="1660"/>
          </w:tabs>
          <w:ind w:left="1660" w:hanging="1008"/>
        </w:pPr>
      </w:lvl>
    </w:lvlOverride>
    <w:lvlOverride w:ilvl="5">
      <w:lvl w:ilvl="5" w:tentative="1">
        <w:start w:val="1"/>
        <w:numFmt w:val="decimal"/>
        <w:lvlText w:val="%1.%2.%3.%4.%5.%6"/>
        <w:lvlJc w:val="left"/>
        <w:pPr>
          <w:tabs>
            <w:tab w:val="left" w:pos="1804"/>
          </w:tabs>
          <w:ind w:left="1804" w:hanging="1152"/>
        </w:pPr>
      </w:lvl>
    </w:lvlOverride>
    <w:lvlOverride w:ilvl="6">
      <w:lvl w:ilvl="6" w:tentative="1">
        <w:start w:val="1"/>
        <w:numFmt w:val="decimal"/>
        <w:lvlText w:val="%1.%2.%3.%4.%5.%6.%7"/>
        <w:lvlJc w:val="left"/>
        <w:pPr>
          <w:tabs>
            <w:tab w:val="left" w:pos="1948"/>
          </w:tabs>
          <w:ind w:left="1948" w:hanging="1296"/>
        </w:pPr>
      </w:lvl>
    </w:lvlOverride>
    <w:lvlOverride w:ilvl="7">
      <w:lvl w:ilvl="7" w:tentative="1">
        <w:start w:val="1"/>
        <w:numFmt w:val="decimal"/>
        <w:lvlText w:val="%1.%2.%3.%4.%5.%6.%7.%8"/>
        <w:lvlJc w:val="left"/>
        <w:pPr>
          <w:tabs>
            <w:tab w:val="left" w:pos="2092"/>
          </w:tabs>
          <w:ind w:left="2092" w:hanging="1440"/>
        </w:pPr>
      </w:lvl>
    </w:lvlOverride>
    <w:lvlOverride w:ilvl="8">
      <w:lvl w:ilvl="8" w:tentative="1">
        <w:start w:val="1"/>
        <w:numFmt w:val="decimal"/>
        <w:lvlText w:val="%1.%2.%3.%4.%5.%6.%7.%8.%9"/>
        <w:lvlJc w:val="left"/>
        <w:pPr>
          <w:tabs>
            <w:tab w:val="left" w:pos="2236"/>
          </w:tabs>
          <w:ind w:left="2236" w:hanging="1584"/>
        </w:pPr>
      </w:lvl>
    </w:lvlOverride>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UwNjg4NDAwY2M3N2E3MTQ2MDI1MGFkNzgzMWVmZDUifQ=="/>
  </w:docVars>
  <w:rsids>
    <w:rsidRoot w:val="009F0EB8"/>
    <w:rsid w:val="000008E8"/>
    <w:rsid w:val="00000C3C"/>
    <w:rsid w:val="000011DE"/>
    <w:rsid w:val="00001EEC"/>
    <w:rsid w:val="00005254"/>
    <w:rsid w:val="00005348"/>
    <w:rsid w:val="00005B3A"/>
    <w:rsid w:val="00007005"/>
    <w:rsid w:val="00007773"/>
    <w:rsid w:val="00007E3F"/>
    <w:rsid w:val="00010C6A"/>
    <w:rsid w:val="0001148E"/>
    <w:rsid w:val="00011955"/>
    <w:rsid w:val="000149FF"/>
    <w:rsid w:val="00014A68"/>
    <w:rsid w:val="00015BFD"/>
    <w:rsid w:val="00015CDC"/>
    <w:rsid w:val="00015DB6"/>
    <w:rsid w:val="00016186"/>
    <w:rsid w:val="0001657C"/>
    <w:rsid w:val="00016882"/>
    <w:rsid w:val="0002174C"/>
    <w:rsid w:val="00021F88"/>
    <w:rsid w:val="00021FA5"/>
    <w:rsid w:val="00022373"/>
    <w:rsid w:val="00022C63"/>
    <w:rsid w:val="00023163"/>
    <w:rsid w:val="0002370D"/>
    <w:rsid w:val="0002397F"/>
    <w:rsid w:val="000241EA"/>
    <w:rsid w:val="0002606F"/>
    <w:rsid w:val="00026E79"/>
    <w:rsid w:val="00027577"/>
    <w:rsid w:val="000300F5"/>
    <w:rsid w:val="000305CA"/>
    <w:rsid w:val="0003090D"/>
    <w:rsid w:val="00031270"/>
    <w:rsid w:val="0003150C"/>
    <w:rsid w:val="00031F35"/>
    <w:rsid w:val="000327EE"/>
    <w:rsid w:val="00034393"/>
    <w:rsid w:val="00034CC1"/>
    <w:rsid w:val="0003509C"/>
    <w:rsid w:val="00036857"/>
    <w:rsid w:val="0003736F"/>
    <w:rsid w:val="00037864"/>
    <w:rsid w:val="00043280"/>
    <w:rsid w:val="000448E5"/>
    <w:rsid w:val="00045FF3"/>
    <w:rsid w:val="00046238"/>
    <w:rsid w:val="00046292"/>
    <w:rsid w:val="000469E3"/>
    <w:rsid w:val="00051626"/>
    <w:rsid w:val="00051B96"/>
    <w:rsid w:val="00052B9B"/>
    <w:rsid w:val="00052E8F"/>
    <w:rsid w:val="00053195"/>
    <w:rsid w:val="0005543B"/>
    <w:rsid w:val="00055677"/>
    <w:rsid w:val="00055824"/>
    <w:rsid w:val="0005592C"/>
    <w:rsid w:val="00056163"/>
    <w:rsid w:val="00056E2D"/>
    <w:rsid w:val="00057296"/>
    <w:rsid w:val="0005761A"/>
    <w:rsid w:val="00060299"/>
    <w:rsid w:val="000604CD"/>
    <w:rsid w:val="00060597"/>
    <w:rsid w:val="00060BF9"/>
    <w:rsid w:val="000612AA"/>
    <w:rsid w:val="00062111"/>
    <w:rsid w:val="000636E7"/>
    <w:rsid w:val="000652F0"/>
    <w:rsid w:val="000656FA"/>
    <w:rsid w:val="000658CE"/>
    <w:rsid w:val="00065D6C"/>
    <w:rsid w:val="000661B6"/>
    <w:rsid w:val="00067A61"/>
    <w:rsid w:val="00067C8E"/>
    <w:rsid w:val="0007028B"/>
    <w:rsid w:val="000727E9"/>
    <w:rsid w:val="000729B2"/>
    <w:rsid w:val="000734BC"/>
    <w:rsid w:val="000735E1"/>
    <w:rsid w:val="0007446C"/>
    <w:rsid w:val="0007540A"/>
    <w:rsid w:val="00075ADB"/>
    <w:rsid w:val="00075CB3"/>
    <w:rsid w:val="00076320"/>
    <w:rsid w:val="00076F79"/>
    <w:rsid w:val="000772AE"/>
    <w:rsid w:val="000779FE"/>
    <w:rsid w:val="00077A95"/>
    <w:rsid w:val="00081063"/>
    <w:rsid w:val="00081A36"/>
    <w:rsid w:val="0008457F"/>
    <w:rsid w:val="0008565B"/>
    <w:rsid w:val="00086D78"/>
    <w:rsid w:val="00087260"/>
    <w:rsid w:val="00087BD1"/>
    <w:rsid w:val="000903F3"/>
    <w:rsid w:val="00090CAF"/>
    <w:rsid w:val="000911BF"/>
    <w:rsid w:val="0009218B"/>
    <w:rsid w:val="00092A57"/>
    <w:rsid w:val="00092BA2"/>
    <w:rsid w:val="00095611"/>
    <w:rsid w:val="000963E6"/>
    <w:rsid w:val="000969BF"/>
    <w:rsid w:val="000973EE"/>
    <w:rsid w:val="000A0C61"/>
    <w:rsid w:val="000A0ED8"/>
    <w:rsid w:val="000A1CC3"/>
    <w:rsid w:val="000A2878"/>
    <w:rsid w:val="000A509F"/>
    <w:rsid w:val="000A511A"/>
    <w:rsid w:val="000A63A2"/>
    <w:rsid w:val="000A6549"/>
    <w:rsid w:val="000A675F"/>
    <w:rsid w:val="000A7D8F"/>
    <w:rsid w:val="000B0B13"/>
    <w:rsid w:val="000B1422"/>
    <w:rsid w:val="000B25EB"/>
    <w:rsid w:val="000B2E59"/>
    <w:rsid w:val="000B505C"/>
    <w:rsid w:val="000B50C0"/>
    <w:rsid w:val="000B5759"/>
    <w:rsid w:val="000B6A9B"/>
    <w:rsid w:val="000B7BCF"/>
    <w:rsid w:val="000C03BB"/>
    <w:rsid w:val="000C0712"/>
    <w:rsid w:val="000C099C"/>
    <w:rsid w:val="000C1DE2"/>
    <w:rsid w:val="000C2086"/>
    <w:rsid w:val="000C266D"/>
    <w:rsid w:val="000C267D"/>
    <w:rsid w:val="000C2AAF"/>
    <w:rsid w:val="000C3030"/>
    <w:rsid w:val="000C346B"/>
    <w:rsid w:val="000C3566"/>
    <w:rsid w:val="000C64A6"/>
    <w:rsid w:val="000C69BF"/>
    <w:rsid w:val="000C6BA5"/>
    <w:rsid w:val="000C7DE7"/>
    <w:rsid w:val="000D1040"/>
    <w:rsid w:val="000D26FE"/>
    <w:rsid w:val="000D7B3B"/>
    <w:rsid w:val="000E0F42"/>
    <w:rsid w:val="000E176A"/>
    <w:rsid w:val="000E1B32"/>
    <w:rsid w:val="000E24CF"/>
    <w:rsid w:val="000E2D5A"/>
    <w:rsid w:val="000E2FA4"/>
    <w:rsid w:val="000E3B50"/>
    <w:rsid w:val="000E6593"/>
    <w:rsid w:val="000E6F99"/>
    <w:rsid w:val="000E7620"/>
    <w:rsid w:val="000F05A4"/>
    <w:rsid w:val="000F1072"/>
    <w:rsid w:val="000F1608"/>
    <w:rsid w:val="000F172F"/>
    <w:rsid w:val="000F2740"/>
    <w:rsid w:val="000F636C"/>
    <w:rsid w:val="000F69FE"/>
    <w:rsid w:val="000F7573"/>
    <w:rsid w:val="000F7FBD"/>
    <w:rsid w:val="00100A45"/>
    <w:rsid w:val="0010255F"/>
    <w:rsid w:val="00103BB0"/>
    <w:rsid w:val="00103EA2"/>
    <w:rsid w:val="00103F86"/>
    <w:rsid w:val="00104081"/>
    <w:rsid w:val="00106C7E"/>
    <w:rsid w:val="001106C8"/>
    <w:rsid w:val="0011147D"/>
    <w:rsid w:val="00111A0A"/>
    <w:rsid w:val="001125D7"/>
    <w:rsid w:val="001127B8"/>
    <w:rsid w:val="00114260"/>
    <w:rsid w:val="001143C1"/>
    <w:rsid w:val="00114F77"/>
    <w:rsid w:val="00115690"/>
    <w:rsid w:val="001164BA"/>
    <w:rsid w:val="0011716F"/>
    <w:rsid w:val="001172B3"/>
    <w:rsid w:val="00117DEE"/>
    <w:rsid w:val="001205A8"/>
    <w:rsid w:val="00121580"/>
    <w:rsid w:val="00121AE7"/>
    <w:rsid w:val="00121CFA"/>
    <w:rsid w:val="00121DD9"/>
    <w:rsid w:val="0012208A"/>
    <w:rsid w:val="00122413"/>
    <w:rsid w:val="0012375C"/>
    <w:rsid w:val="00125CDB"/>
    <w:rsid w:val="00126D79"/>
    <w:rsid w:val="0012778B"/>
    <w:rsid w:val="001318E3"/>
    <w:rsid w:val="001324AA"/>
    <w:rsid w:val="00133112"/>
    <w:rsid w:val="001351A7"/>
    <w:rsid w:val="001352ED"/>
    <w:rsid w:val="00135D41"/>
    <w:rsid w:val="00140950"/>
    <w:rsid w:val="00140AE9"/>
    <w:rsid w:val="00140F3E"/>
    <w:rsid w:val="00141B01"/>
    <w:rsid w:val="00141B0E"/>
    <w:rsid w:val="0014236D"/>
    <w:rsid w:val="00142B73"/>
    <w:rsid w:val="00143F92"/>
    <w:rsid w:val="0014450C"/>
    <w:rsid w:val="00145554"/>
    <w:rsid w:val="0015029C"/>
    <w:rsid w:val="00151D32"/>
    <w:rsid w:val="00151F08"/>
    <w:rsid w:val="0015235C"/>
    <w:rsid w:val="0015261A"/>
    <w:rsid w:val="00152C45"/>
    <w:rsid w:val="00155CEF"/>
    <w:rsid w:val="00156FB8"/>
    <w:rsid w:val="00157C5C"/>
    <w:rsid w:val="00161760"/>
    <w:rsid w:val="00161B48"/>
    <w:rsid w:val="00163623"/>
    <w:rsid w:val="00164AE9"/>
    <w:rsid w:val="00165417"/>
    <w:rsid w:val="00170241"/>
    <w:rsid w:val="00170EC8"/>
    <w:rsid w:val="0017525E"/>
    <w:rsid w:val="00180804"/>
    <w:rsid w:val="00180AD9"/>
    <w:rsid w:val="00184389"/>
    <w:rsid w:val="00184C92"/>
    <w:rsid w:val="00184C94"/>
    <w:rsid w:val="00184DC4"/>
    <w:rsid w:val="00184E7A"/>
    <w:rsid w:val="0018520D"/>
    <w:rsid w:val="00185546"/>
    <w:rsid w:val="00187954"/>
    <w:rsid w:val="001912DE"/>
    <w:rsid w:val="001913D8"/>
    <w:rsid w:val="00191EA8"/>
    <w:rsid w:val="00192E44"/>
    <w:rsid w:val="0019312F"/>
    <w:rsid w:val="0019644F"/>
    <w:rsid w:val="00196492"/>
    <w:rsid w:val="001968D2"/>
    <w:rsid w:val="0019698C"/>
    <w:rsid w:val="001973A2"/>
    <w:rsid w:val="001A0B80"/>
    <w:rsid w:val="001A0E3B"/>
    <w:rsid w:val="001A166C"/>
    <w:rsid w:val="001A1989"/>
    <w:rsid w:val="001A1EDB"/>
    <w:rsid w:val="001A2B09"/>
    <w:rsid w:val="001A2EE2"/>
    <w:rsid w:val="001A3D04"/>
    <w:rsid w:val="001A5145"/>
    <w:rsid w:val="001A51D6"/>
    <w:rsid w:val="001A55E5"/>
    <w:rsid w:val="001A65DF"/>
    <w:rsid w:val="001A6E7D"/>
    <w:rsid w:val="001A734E"/>
    <w:rsid w:val="001B0049"/>
    <w:rsid w:val="001B0BD5"/>
    <w:rsid w:val="001B220D"/>
    <w:rsid w:val="001B2426"/>
    <w:rsid w:val="001B2784"/>
    <w:rsid w:val="001B3B0B"/>
    <w:rsid w:val="001B4642"/>
    <w:rsid w:val="001B5865"/>
    <w:rsid w:val="001B607A"/>
    <w:rsid w:val="001B737B"/>
    <w:rsid w:val="001B77E8"/>
    <w:rsid w:val="001B7A75"/>
    <w:rsid w:val="001C0109"/>
    <w:rsid w:val="001C0916"/>
    <w:rsid w:val="001C098A"/>
    <w:rsid w:val="001C0E12"/>
    <w:rsid w:val="001C1DD6"/>
    <w:rsid w:val="001C2499"/>
    <w:rsid w:val="001C25D0"/>
    <w:rsid w:val="001C3237"/>
    <w:rsid w:val="001C32BC"/>
    <w:rsid w:val="001C389C"/>
    <w:rsid w:val="001C4EC5"/>
    <w:rsid w:val="001C5AEF"/>
    <w:rsid w:val="001C7540"/>
    <w:rsid w:val="001C7575"/>
    <w:rsid w:val="001D088F"/>
    <w:rsid w:val="001D11E4"/>
    <w:rsid w:val="001D1D02"/>
    <w:rsid w:val="001D1FDE"/>
    <w:rsid w:val="001D59D8"/>
    <w:rsid w:val="001D618B"/>
    <w:rsid w:val="001D61F2"/>
    <w:rsid w:val="001D72C9"/>
    <w:rsid w:val="001D7420"/>
    <w:rsid w:val="001D7921"/>
    <w:rsid w:val="001E0E54"/>
    <w:rsid w:val="001E1D15"/>
    <w:rsid w:val="001E38C6"/>
    <w:rsid w:val="001E433B"/>
    <w:rsid w:val="001E4E0B"/>
    <w:rsid w:val="001E6912"/>
    <w:rsid w:val="001E7611"/>
    <w:rsid w:val="001E7A31"/>
    <w:rsid w:val="001E7FEE"/>
    <w:rsid w:val="001F0275"/>
    <w:rsid w:val="001F0545"/>
    <w:rsid w:val="001F091D"/>
    <w:rsid w:val="001F286C"/>
    <w:rsid w:val="001F3DD7"/>
    <w:rsid w:val="001F43C0"/>
    <w:rsid w:val="001F4607"/>
    <w:rsid w:val="001F4D85"/>
    <w:rsid w:val="001F519C"/>
    <w:rsid w:val="001F567C"/>
    <w:rsid w:val="001F5959"/>
    <w:rsid w:val="001F6500"/>
    <w:rsid w:val="001F6842"/>
    <w:rsid w:val="001F6947"/>
    <w:rsid w:val="001F6E97"/>
    <w:rsid w:val="001F7417"/>
    <w:rsid w:val="00202111"/>
    <w:rsid w:val="002021B7"/>
    <w:rsid w:val="002032BB"/>
    <w:rsid w:val="00203540"/>
    <w:rsid w:val="0020407E"/>
    <w:rsid w:val="00204401"/>
    <w:rsid w:val="002055F4"/>
    <w:rsid w:val="00205723"/>
    <w:rsid w:val="00205CB1"/>
    <w:rsid w:val="00205DE9"/>
    <w:rsid w:val="002061B3"/>
    <w:rsid w:val="00206535"/>
    <w:rsid w:val="002070EB"/>
    <w:rsid w:val="0021095A"/>
    <w:rsid w:val="002111DA"/>
    <w:rsid w:val="002114A4"/>
    <w:rsid w:val="002139AD"/>
    <w:rsid w:val="002145FC"/>
    <w:rsid w:val="00214D56"/>
    <w:rsid w:val="002158AF"/>
    <w:rsid w:val="00216F60"/>
    <w:rsid w:val="00217B8D"/>
    <w:rsid w:val="0022151D"/>
    <w:rsid w:val="0022265A"/>
    <w:rsid w:val="00223D8D"/>
    <w:rsid w:val="00224521"/>
    <w:rsid w:val="00227089"/>
    <w:rsid w:val="002310AB"/>
    <w:rsid w:val="00231382"/>
    <w:rsid w:val="0023172A"/>
    <w:rsid w:val="002323C0"/>
    <w:rsid w:val="00232404"/>
    <w:rsid w:val="00232814"/>
    <w:rsid w:val="00232D2D"/>
    <w:rsid w:val="00232E7E"/>
    <w:rsid w:val="00233433"/>
    <w:rsid w:val="00233B1E"/>
    <w:rsid w:val="002352C0"/>
    <w:rsid w:val="00236368"/>
    <w:rsid w:val="002374D6"/>
    <w:rsid w:val="00237C29"/>
    <w:rsid w:val="002400CF"/>
    <w:rsid w:val="00240109"/>
    <w:rsid w:val="00240C28"/>
    <w:rsid w:val="002416D6"/>
    <w:rsid w:val="00242230"/>
    <w:rsid w:val="00242C4D"/>
    <w:rsid w:val="00243468"/>
    <w:rsid w:val="0024373E"/>
    <w:rsid w:val="00244C36"/>
    <w:rsid w:val="00246B4B"/>
    <w:rsid w:val="00246F73"/>
    <w:rsid w:val="0024716C"/>
    <w:rsid w:val="002475BA"/>
    <w:rsid w:val="00247E1E"/>
    <w:rsid w:val="00251100"/>
    <w:rsid w:val="00252A9B"/>
    <w:rsid w:val="00254A8A"/>
    <w:rsid w:val="00255D53"/>
    <w:rsid w:val="002561F2"/>
    <w:rsid w:val="002573D1"/>
    <w:rsid w:val="002601D3"/>
    <w:rsid w:val="00261C6D"/>
    <w:rsid w:val="00264F32"/>
    <w:rsid w:val="00265418"/>
    <w:rsid w:val="00265DBF"/>
    <w:rsid w:val="00266701"/>
    <w:rsid w:val="00267496"/>
    <w:rsid w:val="00267B11"/>
    <w:rsid w:val="00270933"/>
    <w:rsid w:val="00270983"/>
    <w:rsid w:val="0027194D"/>
    <w:rsid w:val="002722A9"/>
    <w:rsid w:val="002735C9"/>
    <w:rsid w:val="00274576"/>
    <w:rsid w:val="00275346"/>
    <w:rsid w:val="00276B44"/>
    <w:rsid w:val="00280672"/>
    <w:rsid w:val="00280AD8"/>
    <w:rsid w:val="00280CAC"/>
    <w:rsid w:val="00280F45"/>
    <w:rsid w:val="0028149B"/>
    <w:rsid w:val="00281EF8"/>
    <w:rsid w:val="0028207C"/>
    <w:rsid w:val="00282F8E"/>
    <w:rsid w:val="002831A5"/>
    <w:rsid w:val="00284A43"/>
    <w:rsid w:val="00284C7A"/>
    <w:rsid w:val="00285C61"/>
    <w:rsid w:val="00285FD4"/>
    <w:rsid w:val="00287839"/>
    <w:rsid w:val="002901EF"/>
    <w:rsid w:val="00291C3C"/>
    <w:rsid w:val="00293887"/>
    <w:rsid w:val="00294481"/>
    <w:rsid w:val="002946DF"/>
    <w:rsid w:val="0029471F"/>
    <w:rsid w:val="00294E7C"/>
    <w:rsid w:val="00295F4D"/>
    <w:rsid w:val="002A07DD"/>
    <w:rsid w:val="002A0F6C"/>
    <w:rsid w:val="002A143D"/>
    <w:rsid w:val="002A198F"/>
    <w:rsid w:val="002A1DEF"/>
    <w:rsid w:val="002A1E1C"/>
    <w:rsid w:val="002A330D"/>
    <w:rsid w:val="002A3A4C"/>
    <w:rsid w:val="002A3ABC"/>
    <w:rsid w:val="002A480E"/>
    <w:rsid w:val="002A4C83"/>
    <w:rsid w:val="002A5495"/>
    <w:rsid w:val="002A5C06"/>
    <w:rsid w:val="002A5F0B"/>
    <w:rsid w:val="002A6FFB"/>
    <w:rsid w:val="002A748A"/>
    <w:rsid w:val="002B06F4"/>
    <w:rsid w:val="002B080B"/>
    <w:rsid w:val="002B0B1F"/>
    <w:rsid w:val="002B0FBE"/>
    <w:rsid w:val="002B2116"/>
    <w:rsid w:val="002B27C1"/>
    <w:rsid w:val="002B2931"/>
    <w:rsid w:val="002B2A37"/>
    <w:rsid w:val="002B2B71"/>
    <w:rsid w:val="002B383D"/>
    <w:rsid w:val="002B6085"/>
    <w:rsid w:val="002B6194"/>
    <w:rsid w:val="002B6BAD"/>
    <w:rsid w:val="002B7E20"/>
    <w:rsid w:val="002C00CD"/>
    <w:rsid w:val="002C1F03"/>
    <w:rsid w:val="002C2C54"/>
    <w:rsid w:val="002C3DB6"/>
    <w:rsid w:val="002C42FC"/>
    <w:rsid w:val="002C4A15"/>
    <w:rsid w:val="002C5432"/>
    <w:rsid w:val="002C56BB"/>
    <w:rsid w:val="002C5721"/>
    <w:rsid w:val="002C5DE6"/>
    <w:rsid w:val="002C6E85"/>
    <w:rsid w:val="002C7440"/>
    <w:rsid w:val="002D0654"/>
    <w:rsid w:val="002D0C22"/>
    <w:rsid w:val="002D0DB4"/>
    <w:rsid w:val="002D2393"/>
    <w:rsid w:val="002D457F"/>
    <w:rsid w:val="002D4808"/>
    <w:rsid w:val="002D5229"/>
    <w:rsid w:val="002D596C"/>
    <w:rsid w:val="002D67E5"/>
    <w:rsid w:val="002E0154"/>
    <w:rsid w:val="002E07EF"/>
    <w:rsid w:val="002E1689"/>
    <w:rsid w:val="002E1F1E"/>
    <w:rsid w:val="002E2EDE"/>
    <w:rsid w:val="002E4EA3"/>
    <w:rsid w:val="002E511F"/>
    <w:rsid w:val="002E6998"/>
    <w:rsid w:val="002E6B5D"/>
    <w:rsid w:val="002E767D"/>
    <w:rsid w:val="002E7CDB"/>
    <w:rsid w:val="002F12B9"/>
    <w:rsid w:val="002F1FB2"/>
    <w:rsid w:val="002F3ABD"/>
    <w:rsid w:val="002F40B2"/>
    <w:rsid w:val="002F48AC"/>
    <w:rsid w:val="002F4AA3"/>
    <w:rsid w:val="002F4F2D"/>
    <w:rsid w:val="002F5345"/>
    <w:rsid w:val="002F7E94"/>
    <w:rsid w:val="002F7E9A"/>
    <w:rsid w:val="00300CB4"/>
    <w:rsid w:val="003017B5"/>
    <w:rsid w:val="00302F77"/>
    <w:rsid w:val="00303498"/>
    <w:rsid w:val="00303A03"/>
    <w:rsid w:val="003041B2"/>
    <w:rsid w:val="00304294"/>
    <w:rsid w:val="00304ADB"/>
    <w:rsid w:val="00305B94"/>
    <w:rsid w:val="0030629E"/>
    <w:rsid w:val="00307909"/>
    <w:rsid w:val="00310171"/>
    <w:rsid w:val="0031124E"/>
    <w:rsid w:val="003115D5"/>
    <w:rsid w:val="003125A2"/>
    <w:rsid w:val="00312DFB"/>
    <w:rsid w:val="00313F87"/>
    <w:rsid w:val="00313FE1"/>
    <w:rsid w:val="00314D0D"/>
    <w:rsid w:val="0031568E"/>
    <w:rsid w:val="00316315"/>
    <w:rsid w:val="003169AE"/>
    <w:rsid w:val="00320D6A"/>
    <w:rsid w:val="0032291A"/>
    <w:rsid w:val="00323897"/>
    <w:rsid w:val="003250A3"/>
    <w:rsid w:val="0032523E"/>
    <w:rsid w:val="00325574"/>
    <w:rsid w:val="00325CEA"/>
    <w:rsid w:val="00326669"/>
    <w:rsid w:val="003277F5"/>
    <w:rsid w:val="00327B6D"/>
    <w:rsid w:val="00330DAB"/>
    <w:rsid w:val="00332A1B"/>
    <w:rsid w:val="0033363A"/>
    <w:rsid w:val="00334C77"/>
    <w:rsid w:val="003351FE"/>
    <w:rsid w:val="00335609"/>
    <w:rsid w:val="0033772D"/>
    <w:rsid w:val="00340883"/>
    <w:rsid w:val="003413BB"/>
    <w:rsid w:val="00342788"/>
    <w:rsid w:val="00342B49"/>
    <w:rsid w:val="0034317A"/>
    <w:rsid w:val="00343A3E"/>
    <w:rsid w:val="00343B08"/>
    <w:rsid w:val="00343E3E"/>
    <w:rsid w:val="00344079"/>
    <w:rsid w:val="003449CA"/>
    <w:rsid w:val="00345D17"/>
    <w:rsid w:val="00345F9A"/>
    <w:rsid w:val="0034689B"/>
    <w:rsid w:val="00347C82"/>
    <w:rsid w:val="003506E7"/>
    <w:rsid w:val="00350817"/>
    <w:rsid w:val="00350B40"/>
    <w:rsid w:val="00352387"/>
    <w:rsid w:val="00352D7B"/>
    <w:rsid w:val="00352F69"/>
    <w:rsid w:val="00353A8C"/>
    <w:rsid w:val="00353DC0"/>
    <w:rsid w:val="00354368"/>
    <w:rsid w:val="00354405"/>
    <w:rsid w:val="00354F38"/>
    <w:rsid w:val="00354FD6"/>
    <w:rsid w:val="003602D0"/>
    <w:rsid w:val="00361174"/>
    <w:rsid w:val="00363356"/>
    <w:rsid w:val="003633EB"/>
    <w:rsid w:val="00364284"/>
    <w:rsid w:val="00364D22"/>
    <w:rsid w:val="00366499"/>
    <w:rsid w:val="00367C97"/>
    <w:rsid w:val="0037108D"/>
    <w:rsid w:val="00371997"/>
    <w:rsid w:val="0037221B"/>
    <w:rsid w:val="003730BA"/>
    <w:rsid w:val="003732EB"/>
    <w:rsid w:val="00374B9C"/>
    <w:rsid w:val="00375C8B"/>
    <w:rsid w:val="00375EEF"/>
    <w:rsid w:val="0037616B"/>
    <w:rsid w:val="00377E20"/>
    <w:rsid w:val="003822DA"/>
    <w:rsid w:val="00383FDD"/>
    <w:rsid w:val="003847DB"/>
    <w:rsid w:val="003851C9"/>
    <w:rsid w:val="00385ACB"/>
    <w:rsid w:val="00385C49"/>
    <w:rsid w:val="003866CB"/>
    <w:rsid w:val="0038724F"/>
    <w:rsid w:val="003876AE"/>
    <w:rsid w:val="003878FC"/>
    <w:rsid w:val="003904A2"/>
    <w:rsid w:val="00390C88"/>
    <w:rsid w:val="00390E63"/>
    <w:rsid w:val="0039172F"/>
    <w:rsid w:val="00394A35"/>
    <w:rsid w:val="00394D7A"/>
    <w:rsid w:val="0039565E"/>
    <w:rsid w:val="003957CA"/>
    <w:rsid w:val="003958AF"/>
    <w:rsid w:val="003958C8"/>
    <w:rsid w:val="00396A8D"/>
    <w:rsid w:val="00396D3C"/>
    <w:rsid w:val="003A033B"/>
    <w:rsid w:val="003A08B2"/>
    <w:rsid w:val="003A10B7"/>
    <w:rsid w:val="003A14DF"/>
    <w:rsid w:val="003A1B57"/>
    <w:rsid w:val="003A1BD9"/>
    <w:rsid w:val="003A2D71"/>
    <w:rsid w:val="003A2E9B"/>
    <w:rsid w:val="003A362D"/>
    <w:rsid w:val="003A40F3"/>
    <w:rsid w:val="003A5AC6"/>
    <w:rsid w:val="003A5AC9"/>
    <w:rsid w:val="003A6238"/>
    <w:rsid w:val="003A623B"/>
    <w:rsid w:val="003A63A9"/>
    <w:rsid w:val="003A64FF"/>
    <w:rsid w:val="003A7999"/>
    <w:rsid w:val="003B20BA"/>
    <w:rsid w:val="003B242F"/>
    <w:rsid w:val="003B331D"/>
    <w:rsid w:val="003B39FA"/>
    <w:rsid w:val="003B6158"/>
    <w:rsid w:val="003B72E0"/>
    <w:rsid w:val="003B7538"/>
    <w:rsid w:val="003B759E"/>
    <w:rsid w:val="003B7A0F"/>
    <w:rsid w:val="003C167B"/>
    <w:rsid w:val="003C20E7"/>
    <w:rsid w:val="003C3244"/>
    <w:rsid w:val="003C40AB"/>
    <w:rsid w:val="003C54B3"/>
    <w:rsid w:val="003C5DE5"/>
    <w:rsid w:val="003C6C33"/>
    <w:rsid w:val="003D043C"/>
    <w:rsid w:val="003D26AC"/>
    <w:rsid w:val="003D2A26"/>
    <w:rsid w:val="003D30EA"/>
    <w:rsid w:val="003D32B0"/>
    <w:rsid w:val="003D4908"/>
    <w:rsid w:val="003D547B"/>
    <w:rsid w:val="003E0954"/>
    <w:rsid w:val="003E0F40"/>
    <w:rsid w:val="003E1063"/>
    <w:rsid w:val="003E12C1"/>
    <w:rsid w:val="003E1497"/>
    <w:rsid w:val="003E1EBD"/>
    <w:rsid w:val="003E3032"/>
    <w:rsid w:val="003E3910"/>
    <w:rsid w:val="003E4513"/>
    <w:rsid w:val="003E521B"/>
    <w:rsid w:val="003E62FA"/>
    <w:rsid w:val="003E6FDD"/>
    <w:rsid w:val="003E7064"/>
    <w:rsid w:val="003E778E"/>
    <w:rsid w:val="003E7A75"/>
    <w:rsid w:val="003E7B08"/>
    <w:rsid w:val="003F0C78"/>
    <w:rsid w:val="003F1BB7"/>
    <w:rsid w:val="003F38B1"/>
    <w:rsid w:val="003F394B"/>
    <w:rsid w:val="003F43CE"/>
    <w:rsid w:val="003F5C97"/>
    <w:rsid w:val="003F7ABC"/>
    <w:rsid w:val="00401039"/>
    <w:rsid w:val="00402894"/>
    <w:rsid w:val="004039EE"/>
    <w:rsid w:val="0040558D"/>
    <w:rsid w:val="00405761"/>
    <w:rsid w:val="00405EB9"/>
    <w:rsid w:val="00410951"/>
    <w:rsid w:val="00412098"/>
    <w:rsid w:val="004127FA"/>
    <w:rsid w:val="00412A50"/>
    <w:rsid w:val="00412E41"/>
    <w:rsid w:val="00413D60"/>
    <w:rsid w:val="00413D97"/>
    <w:rsid w:val="0041464D"/>
    <w:rsid w:val="00415101"/>
    <w:rsid w:val="004164A4"/>
    <w:rsid w:val="00417E9E"/>
    <w:rsid w:val="004206A4"/>
    <w:rsid w:val="004213AA"/>
    <w:rsid w:val="00421A43"/>
    <w:rsid w:val="00422834"/>
    <w:rsid w:val="004238DA"/>
    <w:rsid w:val="00424743"/>
    <w:rsid w:val="00425E43"/>
    <w:rsid w:val="0043001F"/>
    <w:rsid w:val="00431BB7"/>
    <w:rsid w:val="004346CF"/>
    <w:rsid w:val="00434A5A"/>
    <w:rsid w:val="0043508E"/>
    <w:rsid w:val="00435FAD"/>
    <w:rsid w:val="00436279"/>
    <w:rsid w:val="0043680D"/>
    <w:rsid w:val="0044042F"/>
    <w:rsid w:val="004407D6"/>
    <w:rsid w:val="00441AF3"/>
    <w:rsid w:val="00441CDE"/>
    <w:rsid w:val="00442BDE"/>
    <w:rsid w:val="004440BC"/>
    <w:rsid w:val="0044451C"/>
    <w:rsid w:val="00446867"/>
    <w:rsid w:val="004468A1"/>
    <w:rsid w:val="004469CA"/>
    <w:rsid w:val="004516D3"/>
    <w:rsid w:val="00452AB7"/>
    <w:rsid w:val="00452B33"/>
    <w:rsid w:val="00453002"/>
    <w:rsid w:val="00453611"/>
    <w:rsid w:val="00453C09"/>
    <w:rsid w:val="00454EE5"/>
    <w:rsid w:val="00454FB8"/>
    <w:rsid w:val="0045543D"/>
    <w:rsid w:val="004557BC"/>
    <w:rsid w:val="0045665B"/>
    <w:rsid w:val="00456858"/>
    <w:rsid w:val="0045748E"/>
    <w:rsid w:val="00460B6C"/>
    <w:rsid w:val="004611FB"/>
    <w:rsid w:val="00462AFA"/>
    <w:rsid w:val="00462DED"/>
    <w:rsid w:val="0046349F"/>
    <w:rsid w:val="0046705F"/>
    <w:rsid w:val="0047060B"/>
    <w:rsid w:val="00471294"/>
    <w:rsid w:val="00472D0A"/>
    <w:rsid w:val="004733A5"/>
    <w:rsid w:val="00473F50"/>
    <w:rsid w:val="00474B8D"/>
    <w:rsid w:val="00474DC2"/>
    <w:rsid w:val="004767A7"/>
    <w:rsid w:val="00477770"/>
    <w:rsid w:val="004817B0"/>
    <w:rsid w:val="004871CA"/>
    <w:rsid w:val="004876E8"/>
    <w:rsid w:val="00490922"/>
    <w:rsid w:val="00490BA0"/>
    <w:rsid w:val="00491609"/>
    <w:rsid w:val="0049162E"/>
    <w:rsid w:val="00491A85"/>
    <w:rsid w:val="004928B5"/>
    <w:rsid w:val="0049297C"/>
    <w:rsid w:val="004934EA"/>
    <w:rsid w:val="00493C23"/>
    <w:rsid w:val="00494918"/>
    <w:rsid w:val="00495569"/>
    <w:rsid w:val="004969B2"/>
    <w:rsid w:val="004A2A2C"/>
    <w:rsid w:val="004A2CC7"/>
    <w:rsid w:val="004A4B23"/>
    <w:rsid w:val="004A4EA6"/>
    <w:rsid w:val="004A53F9"/>
    <w:rsid w:val="004B0E40"/>
    <w:rsid w:val="004B18F9"/>
    <w:rsid w:val="004B28E1"/>
    <w:rsid w:val="004B365C"/>
    <w:rsid w:val="004B451E"/>
    <w:rsid w:val="004B5B4E"/>
    <w:rsid w:val="004B645F"/>
    <w:rsid w:val="004B706C"/>
    <w:rsid w:val="004B70BF"/>
    <w:rsid w:val="004C02CC"/>
    <w:rsid w:val="004C2B4E"/>
    <w:rsid w:val="004C36D6"/>
    <w:rsid w:val="004C36E2"/>
    <w:rsid w:val="004C417A"/>
    <w:rsid w:val="004C58BB"/>
    <w:rsid w:val="004C5921"/>
    <w:rsid w:val="004C5964"/>
    <w:rsid w:val="004C61E0"/>
    <w:rsid w:val="004C6324"/>
    <w:rsid w:val="004C6995"/>
    <w:rsid w:val="004D0E69"/>
    <w:rsid w:val="004D15D9"/>
    <w:rsid w:val="004D1A71"/>
    <w:rsid w:val="004D1D78"/>
    <w:rsid w:val="004D1E70"/>
    <w:rsid w:val="004D2175"/>
    <w:rsid w:val="004D2241"/>
    <w:rsid w:val="004D25E4"/>
    <w:rsid w:val="004D2B77"/>
    <w:rsid w:val="004D2BF3"/>
    <w:rsid w:val="004D3CE8"/>
    <w:rsid w:val="004D3F27"/>
    <w:rsid w:val="004D3FB2"/>
    <w:rsid w:val="004D5BDF"/>
    <w:rsid w:val="004D68E9"/>
    <w:rsid w:val="004E1C5C"/>
    <w:rsid w:val="004E2370"/>
    <w:rsid w:val="004E2B7E"/>
    <w:rsid w:val="004E2D63"/>
    <w:rsid w:val="004E334B"/>
    <w:rsid w:val="004E3945"/>
    <w:rsid w:val="004E54B4"/>
    <w:rsid w:val="004E579F"/>
    <w:rsid w:val="004F0050"/>
    <w:rsid w:val="004F04D6"/>
    <w:rsid w:val="004F13EC"/>
    <w:rsid w:val="004F1577"/>
    <w:rsid w:val="004F1E50"/>
    <w:rsid w:val="004F2DB9"/>
    <w:rsid w:val="004F4BDF"/>
    <w:rsid w:val="004F4D3B"/>
    <w:rsid w:val="004F525E"/>
    <w:rsid w:val="004F5D2E"/>
    <w:rsid w:val="004F6F89"/>
    <w:rsid w:val="004F7274"/>
    <w:rsid w:val="004F76AC"/>
    <w:rsid w:val="00501F5A"/>
    <w:rsid w:val="005039C2"/>
    <w:rsid w:val="00503BF6"/>
    <w:rsid w:val="005065F1"/>
    <w:rsid w:val="0050697A"/>
    <w:rsid w:val="00506A65"/>
    <w:rsid w:val="00507B08"/>
    <w:rsid w:val="0051213A"/>
    <w:rsid w:val="005135D2"/>
    <w:rsid w:val="005157BB"/>
    <w:rsid w:val="005157D6"/>
    <w:rsid w:val="00516720"/>
    <w:rsid w:val="005175AF"/>
    <w:rsid w:val="00517794"/>
    <w:rsid w:val="00517D69"/>
    <w:rsid w:val="00520865"/>
    <w:rsid w:val="00522550"/>
    <w:rsid w:val="00522810"/>
    <w:rsid w:val="00523E44"/>
    <w:rsid w:val="00524604"/>
    <w:rsid w:val="0052468B"/>
    <w:rsid w:val="005249A0"/>
    <w:rsid w:val="005251EF"/>
    <w:rsid w:val="00526187"/>
    <w:rsid w:val="00526256"/>
    <w:rsid w:val="00526456"/>
    <w:rsid w:val="00526FB1"/>
    <w:rsid w:val="00527A58"/>
    <w:rsid w:val="00527DD0"/>
    <w:rsid w:val="0053131C"/>
    <w:rsid w:val="005317F3"/>
    <w:rsid w:val="00532955"/>
    <w:rsid w:val="00533148"/>
    <w:rsid w:val="00533C26"/>
    <w:rsid w:val="00534A50"/>
    <w:rsid w:val="00534B28"/>
    <w:rsid w:val="00537671"/>
    <w:rsid w:val="00540B8B"/>
    <w:rsid w:val="005414E7"/>
    <w:rsid w:val="00542EF8"/>
    <w:rsid w:val="00543084"/>
    <w:rsid w:val="005438A5"/>
    <w:rsid w:val="00544D00"/>
    <w:rsid w:val="00545626"/>
    <w:rsid w:val="00545ADC"/>
    <w:rsid w:val="00545F2C"/>
    <w:rsid w:val="00547B65"/>
    <w:rsid w:val="00550DEF"/>
    <w:rsid w:val="00551274"/>
    <w:rsid w:val="00551362"/>
    <w:rsid w:val="0055315E"/>
    <w:rsid w:val="005532B9"/>
    <w:rsid w:val="00553333"/>
    <w:rsid w:val="0055579E"/>
    <w:rsid w:val="005559F3"/>
    <w:rsid w:val="00556F1B"/>
    <w:rsid w:val="00560FD9"/>
    <w:rsid w:val="0056104B"/>
    <w:rsid w:val="00561582"/>
    <w:rsid w:val="0056301A"/>
    <w:rsid w:val="00563CBD"/>
    <w:rsid w:val="00563FC1"/>
    <w:rsid w:val="005645DC"/>
    <w:rsid w:val="005648D3"/>
    <w:rsid w:val="005648E6"/>
    <w:rsid w:val="00564E14"/>
    <w:rsid w:val="0056503C"/>
    <w:rsid w:val="005650FA"/>
    <w:rsid w:val="005657D8"/>
    <w:rsid w:val="0056580A"/>
    <w:rsid w:val="00565A87"/>
    <w:rsid w:val="00571C46"/>
    <w:rsid w:val="00572165"/>
    <w:rsid w:val="005744F4"/>
    <w:rsid w:val="0057501D"/>
    <w:rsid w:val="00576003"/>
    <w:rsid w:val="00576628"/>
    <w:rsid w:val="00576B96"/>
    <w:rsid w:val="00577198"/>
    <w:rsid w:val="0058004C"/>
    <w:rsid w:val="0058124A"/>
    <w:rsid w:val="0058189F"/>
    <w:rsid w:val="00581A89"/>
    <w:rsid w:val="00581FCC"/>
    <w:rsid w:val="00581FE4"/>
    <w:rsid w:val="005825E6"/>
    <w:rsid w:val="005829C7"/>
    <w:rsid w:val="00584DB6"/>
    <w:rsid w:val="00585EA9"/>
    <w:rsid w:val="005864C5"/>
    <w:rsid w:val="00586B2A"/>
    <w:rsid w:val="00587AEE"/>
    <w:rsid w:val="00587C8E"/>
    <w:rsid w:val="00587D98"/>
    <w:rsid w:val="00587FBA"/>
    <w:rsid w:val="0059097F"/>
    <w:rsid w:val="005910DA"/>
    <w:rsid w:val="00592305"/>
    <w:rsid w:val="00592F66"/>
    <w:rsid w:val="00593855"/>
    <w:rsid w:val="00594338"/>
    <w:rsid w:val="00594672"/>
    <w:rsid w:val="00594984"/>
    <w:rsid w:val="00594AE2"/>
    <w:rsid w:val="00594D5D"/>
    <w:rsid w:val="00595131"/>
    <w:rsid w:val="005951C0"/>
    <w:rsid w:val="0059573B"/>
    <w:rsid w:val="00595B67"/>
    <w:rsid w:val="005967FF"/>
    <w:rsid w:val="00596EA9"/>
    <w:rsid w:val="005977D5"/>
    <w:rsid w:val="00597ACF"/>
    <w:rsid w:val="005A0040"/>
    <w:rsid w:val="005A0DCB"/>
    <w:rsid w:val="005A0F6C"/>
    <w:rsid w:val="005A2528"/>
    <w:rsid w:val="005A412C"/>
    <w:rsid w:val="005A5A46"/>
    <w:rsid w:val="005A5CCB"/>
    <w:rsid w:val="005A5DE9"/>
    <w:rsid w:val="005A61CC"/>
    <w:rsid w:val="005A6F66"/>
    <w:rsid w:val="005A7572"/>
    <w:rsid w:val="005A7BD6"/>
    <w:rsid w:val="005B06F2"/>
    <w:rsid w:val="005B089A"/>
    <w:rsid w:val="005B1EC8"/>
    <w:rsid w:val="005B214F"/>
    <w:rsid w:val="005B2F3C"/>
    <w:rsid w:val="005B3CA0"/>
    <w:rsid w:val="005B4987"/>
    <w:rsid w:val="005B4F03"/>
    <w:rsid w:val="005B617F"/>
    <w:rsid w:val="005B6286"/>
    <w:rsid w:val="005B70C0"/>
    <w:rsid w:val="005C1456"/>
    <w:rsid w:val="005C1706"/>
    <w:rsid w:val="005C1BE0"/>
    <w:rsid w:val="005C1FE1"/>
    <w:rsid w:val="005C2A6C"/>
    <w:rsid w:val="005C4842"/>
    <w:rsid w:val="005C4D8D"/>
    <w:rsid w:val="005C5CF5"/>
    <w:rsid w:val="005C67AE"/>
    <w:rsid w:val="005C6BEA"/>
    <w:rsid w:val="005C7DB2"/>
    <w:rsid w:val="005D2BD2"/>
    <w:rsid w:val="005D2DF9"/>
    <w:rsid w:val="005D31C3"/>
    <w:rsid w:val="005D4024"/>
    <w:rsid w:val="005D48D5"/>
    <w:rsid w:val="005D537F"/>
    <w:rsid w:val="005D5EDF"/>
    <w:rsid w:val="005D5F7A"/>
    <w:rsid w:val="005D60A3"/>
    <w:rsid w:val="005D7880"/>
    <w:rsid w:val="005D7DBC"/>
    <w:rsid w:val="005E0333"/>
    <w:rsid w:val="005E3911"/>
    <w:rsid w:val="005E47A5"/>
    <w:rsid w:val="005E5FF9"/>
    <w:rsid w:val="005E6BBA"/>
    <w:rsid w:val="005E6ED3"/>
    <w:rsid w:val="005E735B"/>
    <w:rsid w:val="005E7636"/>
    <w:rsid w:val="005E780A"/>
    <w:rsid w:val="005F2EF0"/>
    <w:rsid w:val="005F42A0"/>
    <w:rsid w:val="005F4A6C"/>
    <w:rsid w:val="005F7000"/>
    <w:rsid w:val="006018E8"/>
    <w:rsid w:val="00601944"/>
    <w:rsid w:val="0060220B"/>
    <w:rsid w:val="00602256"/>
    <w:rsid w:val="006023D3"/>
    <w:rsid w:val="00603AD3"/>
    <w:rsid w:val="0060616E"/>
    <w:rsid w:val="00606800"/>
    <w:rsid w:val="00607C66"/>
    <w:rsid w:val="006116DE"/>
    <w:rsid w:val="00611CA2"/>
    <w:rsid w:val="0061305D"/>
    <w:rsid w:val="006133E9"/>
    <w:rsid w:val="00613F64"/>
    <w:rsid w:val="0061410A"/>
    <w:rsid w:val="00614BC0"/>
    <w:rsid w:val="00614BDC"/>
    <w:rsid w:val="006155AE"/>
    <w:rsid w:val="00616BB7"/>
    <w:rsid w:val="00617757"/>
    <w:rsid w:val="0061781D"/>
    <w:rsid w:val="00617B4F"/>
    <w:rsid w:val="00620218"/>
    <w:rsid w:val="006206EB"/>
    <w:rsid w:val="0062251A"/>
    <w:rsid w:val="006231F4"/>
    <w:rsid w:val="00623989"/>
    <w:rsid w:val="00623E93"/>
    <w:rsid w:val="0062417E"/>
    <w:rsid w:val="00624E61"/>
    <w:rsid w:val="00624FCB"/>
    <w:rsid w:val="00625756"/>
    <w:rsid w:val="0062578B"/>
    <w:rsid w:val="006269D2"/>
    <w:rsid w:val="006310E2"/>
    <w:rsid w:val="006315C8"/>
    <w:rsid w:val="00631799"/>
    <w:rsid w:val="006323BE"/>
    <w:rsid w:val="006325AA"/>
    <w:rsid w:val="00633126"/>
    <w:rsid w:val="0063358D"/>
    <w:rsid w:val="0063446D"/>
    <w:rsid w:val="00634828"/>
    <w:rsid w:val="00634882"/>
    <w:rsid w:val="00634AFB"/>
    <w:rsid w:val="006353B1"/>
    <w:rsid w:val="00635559"/>
    <w:rsid w:val="00636234"/>
    <w:rsid w:val="00636ACB"/>
    <w:rsid w:val="006410AF"/>
    <w:rsid w:val="00641B29"/>
    <w:rsid w:val="00642A1B"/>
    <w:rsid w:val="00642BDF"/>
    <w:rsid w:val="0064393C"/>
    <w:rsid w:val="00643A38"/>
    <w:rsid w:val="006446B1"/>
    <w:rsid w:val="0064498B"/>
    <w:rsid w:val="006454CE"/>
    <w:rsid w:val="006460A1"/>
    <w:rsid w:val="00646418"/>
    <w:rsid w:val="00646B04"/>
    <w:rsid w:val="00647654"/>
    <w:rsid w:val="00647CBD"/>
    <w:rsid w:val="00651B56"/>
    <w:rsid w:val="0065390D"/>
    <w:rsid w:val="00653D90"/>
    <w:rsid w:val="006542CA"/>
    <w:rsid w:val="0065482B"/>
    <w:rsid w:val="00655808"/>
    <w:rsid w:val="0065620C"/>
    <w:rsid w:val="0066112B"/>
    <w:rsid w:val="006612BD"/>
    <w:rsid w:val="00662949"/>
    <w:rsid w:val="00664391"/>
    <w:rsid w:val="006671DC"/>
    <w:rsid w:val="00667494"/>
    <w:rsid w:val="00667666"/>
    <w:rsid w:val="00670C55"/>
    <w:rsid w:val="00670E2A"/>
    <w:rsid w:val="006716D3"/>
    <w:rsid w:val="00672623"/>
    <w:rsid w:val="006735F7"/>
    <w:rsid w:val="006754B8"/>
    <w:rsid w:val="00680DE0"/>
    <w:rsid w:val="00681675"/>
    <w:rsid w:val="00682326"/>
    <w:rsid w:val="00682FDF"/>
    <w:rsid w:val="0068304A"/>
    <w:rsid w:val="00683544"/>
    <w:rsid w:val="00683A06"/>
    <w:rsid w:val="0068508D"/>
    <w:rsid w:val="00685985"/>
    <w:rsid w:val="00686843"/>
    <w:rsid w:val="006870A3"/>
    <w:rsid w:val="006877A7"/>
    <w:rsid w:val="0069562F"/>
    <w:rsid w:val="0069628A"/>
    <w:rsid w:val="00697487"/>
    <w:rsid w:val="00697B8F"/>
    <w:rsid w:val="006A00B1"/>
    <w:rsid w:val="006A1401"/>
    <w:rsid w:val="006A1C01"/>
    <w:rsid w:val="006A374F"/>
    <w:rsid w:val="006A4E96"/>
    <w:rsid w:val="006A5818"/>
    <w:rsid w:val="006A707A"/>
    <w:rsid w:val="006A77D8"/>
    <w:rsid w:val="006B1EB6"/>
    <w:rsid w:val="006B5C56"/>
    <w:rsid w:val="006B5D59"/>
    <w:rsid w:val="006B6BDF"/>
    <w:rsid w:val="006B7296"/>
    <w:rsid w:val="006B7DFA"/>
    <w:rsid w:val="006C0952"/>
    <w:rsid w:val="006C1379"/>
    <w:rsid w:val="006C176E"/>
    <w:rsid w:val="006C17A3"/>
    <w:rsid w:val="006C3C2D"/>
    <w:rsid w:val="006C4332"/>
    <w:rsid w:val="006C5BFC"/>
    <w:rsid w:val="006C6C2E"/>
    <w:rsid w:val="006D4589"/>
    <w:rsid w:val="006D5E39"/>
    <w:rsid w:val="006D6198"/>
    <w:rsid w:val="006D62AD"/>
    <w:rsid w:val="006D6986"/>
    <w:rsid w:val="006D741F"/>
    <w:rsid w:val="006D76DE"/>
    <w:rsid w:val="006E09D7"/>
    <w:rsid w:val="006E1AE1"/>
    <w:rsid w:val="006E250B"/>
    <w:rsid w:val="006E329F"/>
    <w:rsid w:val="006E32A3"/>
    <w:rsid w:val="006E3354"/>
    <w:rsid w:val="006E3C67"/>
    <w:rsid w:val="006E3EFE"/>
    <w:rsid w:val="006E419E"/>
    <w:rsid w:val="006E4CEE"/>
    <w:rsid w:val="006E5574"/>
    <w:rsid w:val="006E6AC4"/>
    <w:rsid w:val="006E708D"/>
    <w:rsid w:val="006F0E5F"/>
    <w:rsid w:val="006F1F9B"/>
    <w:rsid w:val="006F248C"/>
    <w:rsid w:val="006F38D5"/>
    <w:rsid w:val="006F4219"/>
    <w:rsid w:val="006F4B5E"/>
    <w:rsid w:val="006F5FD7"/>
    <w:rsid w:val="006F668C"/>
    <w:rsid w:val="006F67F7"/>
    <w:rsid w:val="006F79EB"/>
    <w:rsid w:val="006F7C41"/>
    <w:rsid w:val="006F7FA5"/>
    <w:rsid w:val="00701A54"/>
    <w:rsid w:val="00701B79"/>
    <w:rsid w:val="007024E9"/>
    <w:rsid w:val="0070385E"/>
    <w:rsid w:val="00704A0B"/>
    <w:rsid w:val="0070570F"/>
    <w:rsid w:val="00705C91"/>
    <w:rsid w:val="00706238"/>
    <w:rsid w:val="007065A0"/>
    <w:rsid w:val="0070671D"/>
    <w:rsid w:val="00706B17"/>
    <w:rsid w:val="00706E67"/>
    <w:rsid w:val="007075F2"/>
    <w:rsid w:val="0071075E"/>
    <w:rsid w:val="00710803"/>
    <w:rsid w:val="00711AF4"/>
    <w:rsid w:val="00712DA3"/>
    <w:rsid w:val="007135EB"/>
    <w:rsid w:val="007136D8"/>
    <w:rsid w:val="00714A17"/>
    <w:rsid w:val="0071504D"/>
    <w:rsid w:val="00715338"/>
    <w:rsid w:val="007155AB"/>
    <w:rsid w:val="0071592E"/>
    <w:rsid w:val="00715B7D"/>
    <w:rsid w:val="00716230"/>
    <w:rsid w:val="007170C4"/>
    <w:rsid w:val="00721ECA"/>
    <w:rsid w:val="00722A73"/>
    <w:rsid w:val="00723B03"/>
    <w:rsid w:val="00726907"/>
    <w:rsid w:val="007275D0"/>
    <w:rsid w:val="00727FB2"/>
    <w:rsid w:val="0073047A"/>
    <w:rsid w:val="00730A3F"/>
    <w:rsid w:val="00730DCE"/>
    <w:rsid w:val="0073157A"/>
    <w:rsid w:val="00732134"/>
    <w:rsid w:val="0073222F"/>
    <w:rsid w:val="007323B9"/>
    <w:rsid w:val="0073260E"/>
    <w:rsid w:val="007326AA"/>
    <w:rsid w:val="00732A84"/>
    <w:rsid w:val="0073713C"/>
    <w:rsid w:val="00737A5C"/>
    <w:rsid w:val="00737D79"/>
    <w:rsid w:val="00741021"/>
    <w:rsid w:val="00741C6E"/>
    <w:rsid w:val="007442CB"/>
    <w:rsid w:val="00744562"/>
    <w:rsid w:val="00744662"/>
    <w:rsid w:val="00745C08"/>
    <w:rsid w:val="00747540"/>
    <w:rsid w:val="00750379"/>
    <w:rsid w:val="0075138C"/>
    <w:rsid w:val="00751C74"/>
    <w:rsid w:val="0075345B"/>
    <w:rsid w:val="0075481C"/>
    <w:rsid w:val="007561D6"/>
    <w:rsid w:val="00760A27"/>
    <w:rsid w:val="00760D7B"/>
    <w:rsid w:val="007610E6"/>
    <w:rsid w:val="00762EDA"/>
    <w:rsid w:val="00763FE2"/>
    <w:rsid w:val="00764B99"/>
    <w:rsid w:val="00765230"/>
    <w:rsid w:val="007655AA"/>
    <w:rsid w:val="00765997"/>
    <w:rsid w:val="007663B0"/>
    <w:rsid w:val="00767539"/>
    <w:rsid w:val="007678EC"/>
    <w:rsid w:val="007700F2"/>
    <w:rsid w:val="00770AB7"/>
    <w:rsid w:val="00771239"/>
    <w:rsid w:val="00772536"/>
    <w:rsid w:val="007731FB"/>
    <w:rsid w:val="00773FFE"/>
    <w:rsid w:val="00774641"/>
    <w:rsid w:val="00775594"/>
    <w:rsid w:val="007759C5"/>
    <w:rsid w:val="00776006"/>
    <w:rsid w:val="0077624C"/>
    <w:rsid w:val="0077775E"/>
    <w:rsid w:val="00777F8D"/>
    <w:rsid w:val="00780733"/>
    <w:rsid w:val="00780AC6"/>
    <w:rsid w:val="00781916"/>
    <w:rsid w:val="00782520"/>
    <w:rsid w:val="00782BE7"/>
    <w:rsid w:val="00783509"/>
    <w:rsid w:val="0078370D"/>
    <w:rsid w:val="00783F2B"/>
    <w:rsid w:val="00784681"/>
    <w:rsid w:val="0078513A"/>
    <w:rsid w:val="00785EA8"/>
    <w:rsid w:val="00790185"/>
    <w:rsid w:val="00790EA0"/>
    <w:rsid w:val="007933C0"/>
    <w:rsid w:val="00793410"/>
    <w:rsid w:val="007934E7"/>
    <w:rsid w:val="007944E1"/>
    <w:rsid w:val="007947F2"/>
    <w:rsid w:val="00795094"/>
    <w:rsid w:val="007952BC"/>
    <w:rsid w:val="00795E0B"/>
    <w:rsid w:val="00796D36"/>
    <w:rsid w:val="00797F0F"/>
    <w:rsid w:val="007A1391"/>
    <w:rsid w:val="007A4124"/>
    <w:rsid w:val="007A5747"/>
    <w:rsid w:val="007A5F34"/>
    <w:rsid w:val="007A628C"/>
    <w:rsid w:val="007A7EF1"/>
    <w:rsid w:val="007B1952"/>
    <w:rsid w:val="007B25B0"/>
    <w:rsid w:val="007B2BF1"/>
    <w:rsid w:val="007B2C59"/>
    <w:rsid w:val="007B4AAA"/>
    <w:rsid w:val="007B4F4E"/>
    <w:rsid w:val="007B5D05"/>
    <w:rsid w:val="007B62F4"/>
    <w:rsid w:val="007B6628"/>
    <w:rsid w:val="007C24CF"/>
    <w:rsid w:val="007C2F0E"/>
    <w:rsid w:val="007C2F7E"/>
    <w:rsid w:val="007C4650"/>
    <w:rsid w:val="007C49C5"/>
    <w:rsid w:val="007C57C0"/>
    <w:rsid w:val="007C5B77"/>
    <w:rsid w:val="007C72C5"/>
    <w:rsid w:val="007C76FE"/>
    <w:rsid w:val="007D0742"/>
    <w:rsid w:val="007D135D"/>
    <w:rsid w:val="007D1912"/>
    <w:rsid w:val="007D1A9D"/>
    <w:rsid w:val="007D292F"/>
    <w:rsid w:val="007D4DEB"/>
    <w:rsid w:val="007D4FB4"/>
    <w:rsid w:val="007D583E"/>
    <w:rsid w:val="007D5A35"/>
    <w:rsid w:val="007D663B"/>
    <w:rsid w:val="007E0521"/>
    <w:rsid w:val="007E0816"/>
    <w:rsid w:val="007E0C96"/>
    <w:rsid w:val="007E147B"/>
    <w:rsid w:val="007E178E"/>
    <w:rsid w:val="007E1869"/>
    <w:rsid w:val="007E3519"/>
    <w:rsid w:val="007E5F8E"/>
    <w:rsid w:val="007E7BFC"/>
    <w:rsid w:val="007F115E"/>
    <w:rsid w:val="007F1B77"/>
    <w:rsid w:val="007F21BE"/>
    <w:rsid w:val="007F3181"/>
    <w:rsid w:val="007F48EF"/>
    <w:rsid w:val="007F4FEE"/>
    <w:rsid w:val="007F738A"/>
    <w:rsid w:val="007F7633"/>
    <w:rsid w:val="00800329"/>
    <w:rsid w:val="008005A3"/>
    <w:rsid w:val="00801F2E"/>
    <w:rsid w:val="0080425D"/>
    <w:rsid w:val="00804D88"/>
    <w:rsid w:val="00805C72"/>
    <w:rsid w:val="00805C74"/>
    <w:rsid w:val="008100AB"/>
    <w:rsid w:val="00812127"/>
    <w:rsid w:val="00813312"/>
    <w:rsid w:val="00813E95"/>
    <w:rsid w:val="008143E1"/>
    <w:rsid w:val="0081453F"/>
    <w:rsid w:val="00814F6F"/>
    <w:rsid w:val="00815D74"/>
    <w:rsid w:val="00816282"/>
    <w:rsid w:val="008167CC"/>
    <w:rsid w:val="00816901"/>
    <w:rsid w:val="00824206"/>
    <w:rsid w:val="00824342"/>
    <w:rsid w:val="00824C9F"/>
    <w:rsid w:val="0082528C"/>
    <w:rsid w:val="00825BA4"/>
    <w:rsid w:val="008264B8"/>
    <w:rsid w:val="008276C9"/>
    <w:rsid w:val="00827F4D"/>
    <w:rsid w:val="00830850"/>
    <w:rsid w:val="008319C1"/>
    <w:rsid w:val="0083365D"/>
    <w:rsid w:val="00834FD0"/>
    <w:rsid w:val="0083575C"/>
    <w:rsid w:val="0083601E"/>
    <w:rsid w:val="008361B9"/>
    <w:rsid w:val="00843373"/>
    <w:rsid w:val="00843866"/>
    <w:rsid w:val="00844BCA"/>
    <w:rsid w:val="00845EC4"/>
    <w:rsid w:val="008514BB"/>
    <w:rsid w:val="00851EA5"/>
    <w:rsid w:val="00856004"/>
    <w:rsid w:val="00857692"/>
    <w:rsid w:val="00861CA9"/>
    <w:rsid w:val="00862382"/>
    <w:rsid w:val="00863F3A"/>
    <w:rsid w:val="00864604"/>
    <w:rsid w:val="00864F7A"/>
    <w:rsid w:val="00870065"/>
    <w:rsid w:val="00870B96"/>
    <w:rsid w:val="008711CC"/>
    <w:rsid w:val="00871E01"/>
    <w:rsid w:val="0087207E"/>
    <w:rsid w:val="00873E5D"/>
    <w:rsid w:val="008760D7"/>
    <w:rsid w:val="0087669D"/>
    <w:rsid w:val="00876BF5"/>
    <w:rsid w:val="0087705D"/>
    <w:rsid w:val="00877C5B"/>
    <w:rsid w:val="00880970"/>
    <w:rsid w:val="0088102D"/>
    <w:rsid w:val="00881B22"/>
    <w:rsid w:val="00882415"/>
    <w:rsid w:val="0088328B"/>
    <w:rsid w:val="00884BE8"/>
    <w:rsid w:val="008863F0"/>
    <w:rsid w:val="0088657B"/>
    <w:rsid w:val="00886C34"/>
    <w:rsid w:val="00890455"/>
    <w:rsid w:val="008907BB"/>
    <w:rsid w:val="00890866"/>
    <w:rsid w:val="00893515"/>
    <w:rsid w:val="00893E83"/>
    <w:rsid w:val="008945F6"/>
    <w:rsid w:val="008968D1"/>
    <w:rsid w:val="00897378"/>
    <w:rsid w:val="00897673"/>
    <w:rsid w:val="00897D5E"/>
    <w:rsid w:val="008A018E"/>
    <w:rsid w:val="008A18BE"/>
    <w:rsid w:val="008A2924"/>
    <w:rsid w:val="008A2C7F"/>
    <w:rsid w:val="008A4964"/>
    <w:rsid w:val="008A4C00"/>
    <w:rsid w:val="008A4E38"/>
    <w:rsid w:val="008A584C"/>
    <w:rsid w:val="008A622D"/>
    <w:rsid w:val="008A794E"/>
    <w:rsid w:val="008B15A8"/>
    <w:rsid w:val="008B15CE"/>
    <w:rsid w:val="008B3E62"/>
    <w:rsid w:val="008B53BD"/>
    <w:rsid w:val="008B6B36"/>
    <w:rsid w:val="008B7481"/>
    <w:rsid w:val="008C1EA6"/>
    <w:rsid w:val="008C30E3"/>
    <w:rsid w:val="008C34F3"/>
    <w:rsid w:val="008C35EC"/>
    <w:rsid w:val="008C4549"/>
    <w:rsid w:val="008C4A30"/>
    <w:rsid w:val="008C5A0B"/>
    <w:rsid w:val="008C5FB8"/>
    <w:rsid w:val="008C64FA"/>
    <w:rsid w:val="008C68BC"/>
    <w:rsid w:val="008C69F8"/>
    <w:rsid w:val="008C6E45"/>
    <w:rsid w:val="008C722E"/>
    <w:rsid w:val="008D0342"/>
    <w:rsid w:val="008D07E6"/>
    <w:rsid w:val="008D5E6A"/>
    <w:rsid w:val="008D6A98"/>
    <w:rsid w:val="008D7109"/>
    <w:rsid w:val="008D79CD"/>
    <w:rsid w:val="008E0604"/>
    <w:rsid w:val="008E15F7"/>
    <w:rsid w:val="008E298F"/>
    <w:rsid w:val="008E2DF5"/>
    <w:rsid w:val="008E340A"/>
    <w:rsid w:val="008E4096"/>
    <w:rsid w:val="008E5411"/>
    <w:rsid w:val="008E61F8"/>
    <w:rsid w:val="008E648C"/>
    <w:rsid w:val="008E6B71"/>
    <w:rsid w:val="008F0C36"/>
    <w:rsid w:val="008F15A1"/>
    <w:rsid w:val="008F215F"/>
    <w:rsid w:val="008F2380"/>
    <w:rsid w:val="008F2940"/>
    <w:rsid w:val="008F2CE6"/>
    <w:rsid w:val="008F577D"/>
    <w:rsid w:val="008F6B46"/>
    <w:rsid w:val="008F6D34"/>
    <w:rsid w:val="008F7DBC"/>
    <w:rsid w:val="00900C52"/>
    <w:rsid w:val="00900C92"/>
    <w:rsid w:val="0090327A"/>
    <w:rsid w:val="009048BF"/>
    <w:rsid w:val="009060FB"/>
    <w:rsid w:val="009062A6"/>
    <w:rsid w:val="00906AA5"/>
    <w:rsid w:val="00906FD8"/>
    <w:rsid w:val="00907220"/>
    <w:rsid w:val="0090726F"/>
    <w:rsid w:val="0090793F"/>
    <w:rsid w:val="00911F54"/>
    <w:rsid w:val="009122F0"/>
    <w:rsid w:val="00913283"/>
    <w:rsid w:val="0091494E"/>
    <w:rsid w:val="00915089"/>
    <w:rsid w:val="00915D4E"/>
    <w:rsid w:val="009171A2"/>
    <w:rsid w:val="00917276"/>
    <w:rsid w:val="00917452"/>
    <w:rsid w:val="0091798E"/>
    <w:rsid w:val="00920154"/>
    <w:rsid w:val="00921A91"/>
    <w:rsid w:val="0092270D"/>
    <w:rsid w:val="009228C5"/>
    <w:rsid w:val="00922CE8"/>
    <w:rsid w:val="00923193"/>
    <w:rsid w:val="00923A33"/>
    <w:rsid w:val="00924797"/>
    <w:rsid w:val="00924959"/>
    <w:rsid w:val="00925207"/>
    <w:rsid w:val="00933326"/>
    <w:rsid w:val="009333E3"/>
    <w:rsid w:val="00934A58"/>
    <w:rsid w:val="00934D2F"/>
    <w:rsid w:val="009377C8"/>
    <w:rsid w:val="009378B1"/>
    <w:rsid w:val="0094051E"/>
    <w:rsid w:val="00941377"/>
    <w:rsid w:val="009415AF"/>
    <w:rsid w:val="00943091"/>
    <w:rsid w:val="00943F86"/>
    <w:rsid w:val="00944219"/>
    <w:rsid w:val="00944258"/>
    <w:rsid w:val="00944396"/>
    <w:rsid w:val="00944AB6"/>
    <w:rsid w:val="00944F89"/>
    <w:rsid w:val="0094658D"/>
    <w:rsid w:val="00947309"/>
    <w:rsid w:val="00947524"/>
    <w:rsid w:val="00947AC9"/>
    <w:rsid w:val="0095001B"/>
    <w:rsid w:val="0095075A"/>
    <w:rsid w:val="00950815"/>
    <w:rsid w:val="00950E11"/>
    <w:rsid w:val="00951732"/>
    <w:rsid w:val="009539F7"/>
    <w:rsid w:val="009554CE"/>
    <w:rsid w:val="00955AFB"/>
    <w:rsid w:val="00956110"/>
    <w:rsid w:val="009606E3"/>
    <w:rsid w:val="009613CF"/>
    <w:rsid w:val="009626D2"/>
    <w:rsid w:val="00962C2E"/>
    <w:rsid w:val="00962F24"/>
    <w:rsid w:val="00963B74"/>
    <w:rsid w:val="009656F6"/>
    <w:rsid w:val="009664C6"/>
    <w:rsid w:val="00967CFB"/>
    <w:rsid w:val="0097009E"/>
    <w:rsid w:val="00971B51"/>
    <w:rsid w:val="009721D9"/>
    <w:rsid w:val="00972358"/>
    <w:rsid w:val="00972584"/>
    <w:rsid w:val="00973135"/>
    <w:rsid w:val="00973B52"/>
    <w:rsid w:val="00973DD3"/>
    <w:rsid w:val="009743B5"/>
    <w:rsid w:val="00975DC8"/>
    <w:rsid w:val="009763B9"/>
    <w:rsid w:val="009768DF"/>
    <w:rsid w:val="00977079"/>
    <w:rsid w:val="009770E0"/>
    <w:rsid w:val="0098083E"/>
    <w:rsid w:val="009815A8"/>
    <w:rsid w:val="00981E2B"/>
    <w:rsid w:val="00982F2A"/>
    <w:rsid w:val="00983E95"/>
    <w:rsid w:val="00984069"/>
    <w:rsid w:val="00984BA0"/>
    <w:rsid w:val="00985000"/>
    <w:rsid w:val="00985815"/>
    <w:rsid w:val="00985914"/>
    <w:rsid w:val="00985CA8"/>
    <w:rsid w:val="0098633C"/>
    <w:rsid w:val="00986B18"/>
    <w:rsid w:val="00987B5C"/>
    <w:rsid w:val="00987C4F"/>
    <w:rsid w:val="00990AFF"/>
    <w:rsid w:val="00991D52"/>
    <w:rsid w:val="00993975"/>
    <w:rsid w:val="00993C49"/>
    <w:rsid w:val="00994860"/>
    <w:rsid w:val="009956B9"/>
    <w:rsid w:val="00997976"/>
    <w:rsid w:val="009A0561"/>
    <w:rsid w:val="009A1916"/>
    <w:rsid w:val="009A34AB"/>
    <w:rsid w:val="009A3F0C"/>
    <w:rsid w:val="009A4558"/>
    <w:rsid w:val="009A4C08"/>
    <w:rsid w:val="009A62E0"/>
    <w:rsid w:val="009A6EFE"/>
    <w:rsid w:val="009A708C"/>
    <w:rsid w:val="009A78A4"/>
    <w:rsid w:val="009B010B"/>
    <w:rsid w:val="009B095B"/>
    <w:rsid w:val="009B0FB4"/>
    <w:rsid w:val="009B1B85"/>
    <w:rsid w:val="009B1FC9"/>
    <w:rsid w:val="009B2B71"/>
    <w:rsid w:val="009B32EB"/>
    <w:rsid w:val="009B3AC1"/>
    <w:rsid w:val="009B3EAE"/>
    <w:rsid w:val="009B3EFC"/>
    <w:rsid w:val="009B4F00"/>
    <w:rsid w:val="009B51E5"/>
    <w:rsid w:val="009B593B"/>
    <w:rsid w:val="009B5C0C"/>
    <w:rsid w:val="009C0805"/>
    <w:rsid w:val="009C39AA"/>
    <w:rsid w:val="009C39AD"/>
    <w:rsid w:val="009C4956"/>
    <w:rsid w:val="009C575B"/>
    <w:rsid w:val="009C696B"/>
    <w:rsid w:val="009C793D"/>
    <w:rsid w:val="009D18FC"/>
    <w:rsid w:val="009D29B7"/>
    <w:rsid w:val="009D4B6E"/>
    <w:rsid w:val="009D4ED4"/>
    <w:rsid w:val="009D5747"/>
    <w:rsid w:val="009D5D19"/>
    <w:rsid w:val="009D62F9"/>
    <w:rsid w:val="009D6DEB"/>
    <w:rsid w:val="009E1081"/>
    <w:rsid w:val="009E1CEB"/>
    <w:rsid w:val="009E1F32"/>
    <w:rsid w:val="009E2D87"/>
    <w:rsid w:val="009E3319"/>
    <w:rsid w:val="009E5BF2"/>
    <w:rsid w:val="009E5F87"/>
    <w:rsid w:val="009E6403"/>
    <w:rsid w:val="009E646A"/>
    <w:rsid w:val="009E649B"/>
    <w:rsid w:val="009E65BB"/>
    <w:rsid w:val="009E7216"/>
    <w:rsid w:val="009E7675"/>
    <w:rsid w:val="009F0082"/>
    <w:rsid w:val="009F0A20"/>
    <w:rsid w:val="009F0EB8"/>
    <w:rsid w:val="009F254B"/>
    <w:rsid w:val="009F336D"/>
    <w:rsid w:val="009F43B8"/>
    <w:rsid w:val="009F4D45"/>
    <w:rsid w:val="009F5766"/>
    <w:rsid w:val="009F692F"/>
    <w:rsid w:val="00A000BC"/>
    <w:rsid w:val="00A01B84"/>
    <w:rsid w:val="00A01B92"/>
    <w:rsid w:val="00A05A11"/>
    <w:rsid w:val="00A06166"/>
    <w:rsid w:val="00A0642C"/>
    <w:rsid w:val="00A0743F"/>
    <w:rsid w:val="00A07A23"/>
    <w:rsid w:val="00A114E1"/>
    <w:rsid w:val="00A11545"/>
    <w:rsid w:val="00A11F3C"/>
    <w:rsid w:val="00A1213F"/>
    <w:rsid w:val="00A1292B"/>
    <w:rsid w:val="00A138A8"/>
    <w:rsid w:val="00A13D1B"/>
    <w:rsid w:val="00A146A9"/>
    <w:rsid w:val="00A14EE1"/>
    <w:rsid w:val="00A1592E"/>
    <w:rsid w:val="00A16940"/>
    <w:rsid w:val="00A17A0F"/>
    <w:rsid w:val="00A21124"/>
    <w:rsid w:val="00A2202E"/>
    <w:rsid w:val="00A23410"/>
    <w:rsid w:val="00A2453A"/>
    <w:rsid w:val="00A25CBD"/>
    <w:rsid w:val="00A267BE"/>
    <w:rsid w:val="00A307B0"/>
    <w:rsid w:val="00A30CE7"/>
    <w:rsid w:val="00A3110B"/>
    <w:rsid w:val="00A31DB0"/>
    <w:rsid w:val="00A320BA"/>
    <w:rsid w:val="00A32619"/>
    <w:rsid w:val="00A32BBC"/>
    <w:rsid w:val="00A32DCD"/>
    <w:rsid w:val="00A33E69"/>
    <w:rsid w:val="00A340AB"/>
    <w:rsid w:val="00A34978"/>
    <w:rsid w:val="00A35EA8"/>
    <w:rsid w:val="00A360C5"/>
    <w:rsid w:val="00A37025"/>
    <w:rsid w:val="00A37794"/>
    <w:rsid w:val="00A42E78"/>
    <w:rsid w:val="00A43A3C"/>
    <w:rsid w:val="00A44568"/>
    <w:rsid w:val="00A44ECD"/>
    <w:rsid w:val="00A45175"/>
    <w:rsid w:val="00A472D0"/>
    <w:rsid w:val="00A5131F"/>
    <w:rsid w:val="00A518FB"/>
    <w:rsid w:val="00A5232D"/>
    <w:rsid w:val="00A52CE8"/>
    <w:rsid w:val="00A531C9"/>
    <w:rsid w:val="00A53A8A"/>
    <w:rsid w:val="00A54E8E"/>
    <w:rsid w:val="00A55DD9"/>
    <w:rsid w:val="00A56C4C"/>
    <w:rsid w:val="00A60537"/>
    <w:rsid w:val="00A61751"/>
    <w:rsid w:val="00A61979"/>
    <w:rsid w:val="00A62217"/>
    <w:rsid w:val="00A62507"/>
    <w:rsid w:val="00A63777"/>
    <w:rsid w:val="00A63C01"/>
    <w:rsid w:val="00A641F3"/>
    <w:rsid w:val="00A64D91"/>
    <w:rsid w:val="00A64E6F"/>
    <w:rsid w:val="00A65016"/>
    <w:rsid w:val="00A66D34"/>
    <w:rsid w:val="00A7090D"/>
    <w:rsid w:val="00A70B98"/>
    <w:rsid w:val="00A71727"/>
    <w:rsid w:val="00A71784"/>
    <w:rsid w:val="00A72232"/>
    <w:rsid w:val="00A723C5"/>
    <w:rsid w:val="00A72A08"/>
    <w:rsid w:val="00A73CA7"/>
    <w:rsid w:val="00A73F07"/>
    <w:rsid w:val="00A759F2"/>
    <w:rsid w:val="00A75DD5"/>
    <w:rsid w:val="00A7670B"/>
    <w:rsid w:val="00A776CD"/>
    <w:rsid w:val="00A778E3"/>
    <w:rsid w:val="00A77D59"/>
    <w:rsid w:val="00A80D0D"/>
    <w:rsid w:val="00A8315F"/>
    <w:rsid w:val="00A839D4"/>
    <w:rsid w:val="00A855FB"/>
    <w:rsid w:val="00A85D54"/>
    <w:rsid w:val="00A85EB2"/>
    <w:rsid w:val="00A8675F"/>
    <w:rsid w:val="00A90155"/>
    <w:rsid w:val="00A91032"/>
    <w:rsid w:val="00A91C87"/>
    <w:rsid w:val="00A91FA2"/>
    <w:rsid w:val="00A920F2"/>
    <w:rsid w:val="00A925B8"/>
    <w:rsid w:val="00A935B0"/>
    <w:rsid w:val="00A937B1"/>
    <w:rsid w:val="00A947C6"/>
    <w:rsid w:val="00A95230"/>
    <w:rsid w:val="00A952C2"/>
    <w:rsid w:val="00AA021E"/>
    <w:rsid w:val="00AA1A6B"/>
    <w:rsid w:val="00AA20AF"/>
    <w:rsid w:val="00AA2414"/>
    <w:rsid w:val="00AA2F16"/>
    <w:rsid w:val="00AA377B"/>
    <w:rsid w:val="00AA578A"/>
    <w:rsid w:val="00AA57AB"/>
    <w:rsid w:val="00AA654E"/>
    <w:rsid w:val="00AA66AA"/>
    <w:rsid w:val="00AA6C12"/>
    <w:rsid w:val="00AB2116"/>
    <w:rsid w:val="00AB4CF1"/>
    <w:rsid w:val="00AB4F2D"/>
    <w:rsid w:val="00AB6689"/>
    <w:rsid w:val="00AC0598"/>
    <w:rsid w:val="00AC1C68"/>
    <w:rsid w:val="00AC2F5A"/>
    <w:rsid w:val="00AC4948"/>
    <w:rsid w:val="00AC5945"/>
    <w:rsid w:val="00AC5C7A"/>
    <w:rsid w:val="00AC689F"/>
    <w:rsid w:val="00AC7236"/>
    <w:rsid w:val="00AC7306"/>
    <w:rsid w:val="00AC74FF"/>
    <w:rsid w:val="00AD15CB"/>
    <w:rsid w:val="00AD2DA7"/>
    <w:rsid w:val="00AD2E2B"/>
    <w:rsid w:val="00AD2FCF"/>
    <w:rsid w:val="00AD31F1"/>
    <w:rsid w:val="00AD390B"/>
    <w:rsid w:val="00AD522F"/>
    <w:rsid w:val="00AD66E5"/>
    <w:rsid w:val="00AD675B"/>
    <w:rsid w:val="00AD67B8"/>
    <w:rsid w:val="00AE031A"/>
    <w:rsid w:val="00AE05F9"/>
    <w:rsid w:val="00AE1E3C"/>
    <w:rsid w:val="00AE2403"/>
    <w:rsid w:val="00AE38BC"/>
    <w:rsid w:val="00AE4A48"/>
    <w:rsid w:val="00AE746E"/>
    <w:rsid w:val="00AE7FB9"/>
    <w:rsid w:val="00AF0202"/>
    <w:rsid w:val="00AF0C35"/>
    <w:rsid w:val="00AF0FDB"/>
    <w:rsid w:val="00AF1286"/>
    <w:rsid w:val="00AF1375"/>
    <w:rsid w:val="00AF49AF"/>
    <w:rsid w:val="00AF6D4E"/>
    <w:rsid w:val="00AF78C1"/>
    <w:rsid w:val="00B0144D"/>
    <w:rsid w:val="00B03043"/>
    <w:rsid w:val="00B03917"/>
    <w:rsid w:val="00B03EB9"/>
    <w:rsid w:val="00B040D9"/>
    <w:rsid w:val="00B04DEC"/>
    <w:rsid w:val="00B062FE"/>
    <w:rsid w:val="00B064A3"/>
    <w:rsid w:val="00B0685C"/>
    <w:rsid w:val="00B071FB"/>
    <w:rsid w:val="00B0724A"/>
    <w:rsid w:val="00B07A0F"/>
    <w:rsid w:val="00B07AE7"/>
    <w:rsid w:val="00B1139D"/>
    <w:rsid w:val="00B11DFA"/>
    <w:rsid w:val="00B1289E"/>
    <w:rsid w:val="00B16AFE"/>
    <w:rsid w:val="00B17381"/>
    <w:rsid w:val="00B17B0D"/>
    <w:rsid w:val="00B20D48"/>
    <w:rsid w:val="00B20DC5"/>
    <w:rsid w:val="00B213CA"/>
    <w:rsid w:val="00B213E2"/>
    <w:rsid w:val="00B227F8"/>
    <w:rsid w:val="00B23D60"/>
    <w:rsid w:val="00B24251"/>
    <w:rsid w:val="00B24C19"/>
    <w:rsid w:val="00B24F0C"/>
    <w:rsid w:val="00B26566"/>
    <w:rsid w:val="00B27340"/>
    <w:rsid w:val="00B30E09"/>
    <w:rsid w:val="00B31117"/>
    <w:rsid w:val="00B321CE"/>
    <w:rsid w:val="00B323E7"/>
    <w:rsid w:val="00B32E9D"/>
    <w:rsid w:val="00B33576"/>
    <w:rsid w:val="00B33C44"/>
    <w:rsid w:val="00B33D76"/>
    <w:rsid w:val="00B34363"/>
    <w:rsid w:val="00B348C4"/>
    <w:rsid w:val="00B34987"/>
    <w:rsid w:val="00B35376"/>
    <w:rsid w:val="00B35FA9"/>
    <w:rsid w:val="00B36336"/>
    <w:rsid w:val="00B37441"/>
    <w:rsid w:val="00B40104"/>
    <w:rsid w:val="00B40B0D"/>
    <w:rsid w:val="00B41962"/>
    <w:rsid w:val="00B41EC1"/>
    <w:rsid w:val="00B422D9"/>
    <w:rsid w:val="00B42779"/>
    <w:rsid w:val="00B44164"/>
    <w:rsid w:val="00B449F5"/>
    <w:rsid w:val="00B46DB0"/>
    <w:rsid w:val="00B47D6A"/>
    <w:rsid w:val="00B5048D"/>
    <w:rsid w:val="00B50C42"/>
    <w:rsid w:val="00B519A9"/>
    <w:rsid w:val="00B525FB"/>
    <w:rsid w:val="00B52832"/>
    <w:rsid w:val="00B52F84"/>
    <w:rsid w:val="00B55877"/>
    <w:rsid w:val="00B55950"/>
    <w:rsid w:val="00B57107"/>
    <w:rsid w:val="00B57FB6"/>
    <w:rsid w:val="00B604C3"/>
    <w:rsid w:val="00B61DB6"/>
    <w:rsid w:val="00B6303F"/>
    <w:rsid w:val="00B630E7"/>
    <w:rsid w:val="00B6338A"/>
    <w:rsid w:val="00B63CEE"/>
    <w:rsid w:val="00B63E59"/>
    <w:rsid w:val="00B64318"/>
    <w:rsid w:val="00B6466F"/>
    <w:rsid w:val="00B66974"/>
    <w:rsid w:val="00B67BD8"/>
    <w:rsid w:val="00B67F72"/>
    <w:rsid w:val="00B701B7"/>
    <w:rsid w:val="00B71CBB"/>
    <w:rsid w:val="00B7346D"/>
    <w:rsid w:val="00B769F0"/>
    <w:rsid w:val="00B76DEC"/>
    <w:rsid w:val="00B77A36"/>
    <w:rsid w:val="00B80C8F"/>
    <w:rsid w:val="00B82721"/>
    <w:rsid w:val="00B828CE"/>
    <w:rsid w:val="00B82B38"/>
    <w:rsid w:val="00B82B7C"/>
    <w:rsid w:val="00B82F8F"/>
    <w:rsid w:val="00B82F9C"/>
    <w:rsid w:val="00B834B0"/>
    <w:rsid w:val="00B848C0"/>
    <w:rsid w:val="00B849F3"/>
    <w:rsid w:val="00B84D0B"/>
    <w:rsid w:val="00B85995"/>
    <w:rsid w:val="00B85C01"/>
    <w:rsid w:val="00B85E97"/>
    <w:rsid w:val="00B86039"/>
    <w:rsid w:val="00B87565"/>
    <w:rsid w:val="00B8779E"/>
    <w:rsid w:val="00B90440"/>
    <w:rsid w:val="00B90785"/>
    <w:rsid w:val="00B909D2"/>
    <w:rsid w:val="00B90A1E"/>
    <w:rsid w:val="00B90E0D"/>
    <w:rsid w:val="00B91BE3"/>
    <w:rsid w:val="00B92317"/>
    <w:rsid w:val="00B93A0B"/>
    <w:rsid w:val="00B94BB3"/>
    <w:rsid w:val="00B94E51"/>
    <w:rsid w:val="00B9500E"/>
    <w:rsid w:val="00B95E6B"/>
    <w:rsid w:val="00BA044F"/>
    <w:rsid w:val="00BA0752"/>
    <w:rsid w:val="00BA14BA"/>
    <w:rsid w:val="00BA1573"/>
    <w:rsid w:val="00BA2E74"/>
    <w:rsid w:val="00BA2E9B"/>
    <w:rsid w:val="00BA46B1"/>
    <w:rsid w:val="00BA50F3"/>
    <w:rsid w:val="00BA67E1"/>
    <w:rsid w:val="00BA6B3B"/>
    <w:rsid w:val="00BA703B"/>
    <w:rsid w:val="00BB048B"/>
    <w:rsid w:val="00BB0965"/>
    <w:rsid w:val="00BB46DE"/>
    <w:rsid w:val="00BB584E"/>
    <w:rsid w:val="00BC0F8B"/>
    <w:rsid w:val="00BC2083"/>
    <w:rsid w:val="00BC252B"/>
    <w:rsid w:val="00BC2D3A"/>
    <w:rsid w:val="00BC343D"/>
    <w:rsid w:val="00BC3FE7"/>
    <w:rsid w:val="00BC50A8"/>
    <w:rsid w:val="00BC548B"/>
    <w:rsid w:val="00BC714F"/>
    <w:rsid w:val="00BC78C9"/>
    <w:rsid w:val="00BC7F86"/>
    <w:rsid w:val="00BD0998"/>
    <w:rsid w:val="00BD0BEA"/>
    <w:rsid w:val="00BD1ACA"/>
    <w:rsid w:val="00BD294B"/>
    <w:rsid w:val="00BD38DE"/>
    <w:rsid w:val="00BD47AB"/>
    <w:rsid w:val="00BD503C"/>
    <w:rsid w:val="00BD5DE5"/>
    <w:rsid w:val="00BE0DC4"/>
    <w:rsid w:val="00BE0EED"/>
    <w:rsid w:val="00BE1E6D"/>
    <w:rsid w:val="00BE32F1"/>
    <w:rsid w:val="00BE38DF"/>
    <w:rsid w:val="00BE5295"/>
    <w:rsid w:val="00BE5886"/>
    <w:rsid w:val="00BE5D98"/>
    <w:rsid w:val="00BE6176"/>
    <w:rsid w:val="00BE68EC"/>
    <w:rsid w:val="00BE765E"/>
    <w:rsid w:val="00BE78AD"/>
    <w:rsid w:val="00BF1022"/>
    <w:rsid w:val="00BF1228"/>
    <w:rsid w:val="00BF412F"/>
    <w:rsid w:val="00BF46CE"/>
    <w:rsid w:val="00BF5511"/>
    <w:rsid w:val="00BF5677"/>
    <w:rsid w:val="00BF605C"/>
    <w:rsid w:val="00BF60A5"/>
    <w:rsid w:val="00BF621A"/>
    <w:rsid w:val="00BF65E4"/>
    <w:rsid w:val="00BF7FB9"/>
    <w:rsid w:val="00C00881"/>
    <w:rsid w:val="00C01193"/>
    <w:rsid w:val="00C04786"/>
    <w:rsid w:val="00C0527F"/>
    <w:rsid w:val="00C059E8"/>
    <w:rsid w:val="00C061D6"/>
    <w:rsid w:val="00C0649A"/>
    <w:rsid w:val="00C0669C"/>
    <w:rsid w:val="00C070E5"/>
    <w:rsid w:val="00C07DFC"/>
    <w:rsid w:val="00C10139"/>
    <w:rsid w:val="00C10508"/>
    <w:rsid w:val="00C11267"/>
    <w:rsid w:val="00C11713"/>
    <w:rsid w:val="00C126E3"/>
    <w:rsid w:val="00C131B3"/>
    <w:rsid w:val="00C13BAE"/>
    <w:rsid w:val="00C15760"/>
    <w:rsid w:val="00C15E48"/>
    <w:rsid w:val="00C15F12"/>
    <w:rsid w:val="00C161EB"/>
    <w:rsid w:val="00C1620C"/>
    <w:rsid w:val="00C17832"/>
    <w:rsid w:val="00C230D3"/>
    <w:rsid w:val="00C23D80"/>
    <w:rsid w:val="00C241D8"/>
    <w:rsid w:val="00C245D8"/>
    <w:rsid w:val="00C24747"/>
    <w:rsid w:val="00C254B0"/>
    <w:rsid w:val="00C25813"/>
    <w:rsid w:val="00C258D3"/>
    <w:rsid w:val="00C25B4F"/>
    <w:rsid w:val="00C26E02"/>
    <w:rsid w:val="00C270AE"/>
    <w:rsid w:val="00C27DAF"/>
    <w:rsid w:val="00C30320"/>
    <w:rsid w:val="00C30E05"/>
    <w:rsid w:val="00C313CA"/>
    <w:rsid w:val="00C320E7"/>
    <w:rsid w:val="00C32175"/>
    <w:rsid w:val="00C322DD"/>
    <w:rsid w:val="00C3278B"/>
    <w:rsid w:val="00C3439D"/>
    <w:rsid w:val="00C348C6"/>
    <w:rsid w:val="00C34B32"/>
    <w:rsid w:val="00C34DDE"/>
    <w:rsid w:val="00C35000"/>
    <w:rsid w:val="00C351BD"/>
    <w:rsid w:val="00C35D65"/>
    <w:rsid w:val="00C35F08"/>
    <w:rsid w:val="00C37D32"/>
    <w:rsid w:val="00C41201"/>
    <w:rsid w:val="00C4152F"/>
    <w:rsid w:val="00C42C61"/>
    <w:rsid w:val="00C430AB"/>
    <w:rsid w:val="00C459A3"/>
    <w:rsid w:val="00C46074"/>
    <w:rsid w:val="00C4628E"/>
    <w:rsid w:val="00C4688C"/>
    <w:rsid w:val="00C4695D"/>
    <w:rsid w:val="00C46AED"/>
    <w:rsid w:val="00C474FD"/>
    <w:rsid w:val="00C50CC7"/>
    <w:rsid w:val="00C50E2D"/>
    <w:rsid w:val="00C50EC5"/>
    <w:rsid w:val="00C51267"/>
    <w:rsid w:val="00C52384"/>
    <w:rsid w:val="00C52795"/>
    <w:rsid w:val="00C52DC4"/>
    <w:rsid w:val="00C52E16"/>
    <w:rsid w:val="00C53036"/>
    <w:rsid w:val="00C55AEB"/>
    <w:rsid w:val="00C56D21"/>
    <w:rsid w:val="00C56DD3"/>
    <w:rsid w:val="00C61069"/>
    <w:rsid w:val="00C61B9F"/>
    <w:rsid w:val="00C63E5F"/>
    <w:rsid w:val="00C651E5"/>
    <w:rsid w:val="00C652D2"/>
    <w:rsid w:val="00C652DC"/>
    <w:rsid w:val="00C658DF"/>
    <w:rsid w:val="00C65BBA"/>
    <w:rsid w:val="00C65BCC"/>
    <w:rsid w:val="00C65C90"/>
    <w:rsid w:val="00C67055"/>
    <w:rsid w:val="00C6741F"/>
    <w:rsid w:val="00C70ADA"/>
    <w:rsid w:val="00C70CAA"/>
    <w:rsid w:val="00C70DF0"/>
    <w:rsid w:val="00C71299"/>
    <w:rsid w:val="00C72913"/>
    <w:rsid w:val="00C72FD5"/>
    <w:rsid w:val="00C73AF0"/>
    <w:rsid w:val="00C74378"/>
    <w:rsid w:val="00C75B12"/>
    <w:rsid w:val="00C76FC7"/>
    <w:rsid w:val="00C80F4D"/>
    <w:rsid w:val="00C81CBF"/>
    <w:rsid w:val="00C81D62"/>
    <w:rsid w:val="00C820FE"/>
    <w:rsid w:val="00C82B57"/>
    <w:rsid w:val="00C83E1F"/>
    <w:rsid w:val="00C8422B"/>
    <w:rsid w:val="00C85FA8"/>
    <w:rsid w:val="00C904CE"/>
    <w:rsid w:val="00C91977"/>
    <w:rsid w:val="00C933AE"/>
    <w:rsid w:val="00C93D42"/>
    <w:rsid w:val="00C93E09"/>
    <w:rsid w:val="00C9712B"/>
    <w:rsid w:val="00C971FB"/>
    <w:rsid w:val="00C979B5"/>
    <w:rsid w:val="00C97C3B"/>
    <w:rsid w:val="00CA082A"/>
    <w:rsid w:val="00CA24EF"/>
    <w:rsid w:val="00CA3088"/>
    <w:rsid w:val="00CA3AC3"/>
    <w:rsid w:val="00CA4BBE"/>
    <w:rsid w:val="00CA5813"/>
    <w:rsid w:val="00CA702B"/>
    <w:rsid w:val="00CA71F6"/>
    <w:rsid w:val="00CB0327"/>
    <w:rsid w:val="00CB1087"/>
    <w:rsid w:val="00CB278C"/>
    <w:rsid w:val="00CB2889"/>
    <w:rsid w:val="00CB3294"/>
    <w:rsid w:val="00CB3B78"/>
    <w:rsid w:val="00CB4E95"/>
    <w:rsid w:val="00CB53F2"/>
    <w:rsid w:val="00CB55B6"/>
    <w:rsid w:val="00CB57A1"/>
    <w:rsid w:val="00CB5BA9"/>
    <w:rsid w:val="00CB5E97"/>
    <w:rsid w:val="00CB611A"/>
    <w:rsid w:val="00CB6916"/>
    <w:rsid w:val="00CC04B3"/>
    <w:rsid w:val="00CC0584"/>
    <w:rsid w:val="00CC1707"/>
    <w:rsid w:val="00CC1BE8"/>
    <w:rsid w:val="00CC2C76"/>
    <w:rsid w:val="00CC3864"/>
    <w:rsid w:val="00CC3AA2"/>
    <w:rsid w:val="00CC47E3"/>
    <w:rsid w:val="00CC60D1"/>
    <w:rsid w:val="00CC6884"/>
    <w:rsid w:val="00CC7E1C"/>
    <w:rsid w:val="00CD2C0B"/>
    <w:rsid w:val="00CD3030"/>
    <w:rsid w:val="00CD5C30"/>
    <w:rsid w:val="00CD6F20"/>
    <w:rsid w:val="00CE0120"/>
    <w:rsid w:val="00CE2D3C"/>
    <w:rsid w:val="00CE3450"/>
    <w:rsid w:val="00CE3492"/>
    <w:rsid w:val="00CE353C"/>
    <w:rsid w:val="00CE37D6"/>
    <w:rsid w:val="00CE3B84"/>
    <w:rsid w:val="00CE438A"/>
    <w:rsid w:val="00CE4EB3"/>
    <w:rsid w:val="00CE65AF"/>
    <w:rsid w:val="00CE793A"/>
    <w:rsid w:val="00CE7EFE"/>
    <w:rsid w:val="00CF03AA"/>
    <w:rsid w:val="00CF05C7"/>
    <w:rsid w:val="00CF075A"/>
    <w:rsid w:val="00CF0C44"/>
    <w:rsid w:val="00CF2694"/>
    <w:rsid w:val="00CF27E6"/>
    <w:rsid w:val="00CF4243"/>
    <w:rsid w:val="00CF42BF"/>
    <w:rsid w:val="00CF7111"/>
    <w:rsid w:val="00CF72A6"/>
    <w:rsid w:val="00CF7354"/>
    <w:rsid w:val="00D00320"/>
    <w:rsid w:val="00D010A1"/>
    <w:rsid w:val="00D01E56"/>
    <w:rsid w:val="00D02F8F"/>
    <w:rsid w:val="00D033B3"/>
    <w:rsid w:val="00D042B1"/>
    <w:rsid w:val="00D063A3"/>
    <w:rsid w:val="00D06425"/>
    <w:rsid w:val="00D070CC"/>
    <w:rsid w:val="00D10DCE"/>
    <w:rsid w:val="00D11198"/>
    <w:rsid w:val="00D1301F"/>
    <w:rsid w:val="00D13A80"/>
    <w:rsid w:val="00D1556E"/>
    <w:rsid w:val="00D156EA"/>
    <w:rsid w:val="00D15906"/>
    <w:rsid w:val="00D16B0C"/>
    <w:rsid w:val="00D16ECD"/>
    <w:rsid w:val="00D170C6"/>
    <w:rsid w:val="00D1742D"/>
    <w:rsid w:val="00D176C3"/>
    <w:rsid w:val="00D20179"/>
    <w:rsid w:val="00D20964"/>
    <w:rsid w:val="00D2209C"/>
    <w:rsid w:val="00D25988"/>
    <w:rsid w:val="00D2744C"/>
    <w:rsid w:val="00D307D0"/>
    <w:rsid w:val="00D308F1"/>
    <w:rsid w:val="00D30EA3"/>
    <w:rsid w:val="00D32CC5"/>
    <w:rsid w:val="00D32ED4"/>
    <w:rsid w:val="00D33BFE"/>
    <w:rsid w:val="00D33F8C"/>
    <w:rsid w:val="00D34C98"/>
    <w:rsid w:val="00D35966"/>
    <w:rsid w:val="00D373C5"/>
    <w:rsid w:val="00D375F7"/>
    <w:rsid w:val="00D423AC"/>
    <w:rsid w:val="00D442CA"/>
    <w:rsid w:val="00D44410"/>
    <w:rsid w:val="00D45E43"/>
    <w:rsid w:val="00D46436"/>
    <w:rsid w:val="00D5178C"/>
    <w:rsid w:val="00D51A2C"/>
    <w:rsid w:val="00D524AB"/>
    <w:rsid w:val="00D53759"/>
    <w:rsid w:val="00D553DE"/>
    <w:rsid w:val="00D5621E"/>
    <w:rsid w:val="00D567D0"/>
    <w:rsid w:val="00D5690B"/>
    <w:rsid w:val="00D57991"/>
    <w:rsid w:val="00D612F0"/>
    <w:rsid w:val="00D628B4"/>
    <w:rsid w:val="00D63AFC"/>
    <w:rsid w:val="00D63EDC"/>
    <w:rsid w:val="00D64402"/>
    <w:rsid w:val="00D64B1C"/>
    <w:rsid w:val="00D651BE"/>
    <w:rsid w:val="00D6695C"/>
    <w:rsid w:val="00D66FA7"/>
    <w:rsid w:val="00D67606"/>
    <w:rsid w:val="00D71330"/>
    <w:rsid w:val="00D71D0D"/>
    <w:rsid w:val="00D71DC5"/>
    <w:rsid w:val="00D7248F"/>
    <w:rsid w:val="00D72EBA"/>
    <w:rsid w:val="00D73778"/>
    <w:rsid w:val="00D7391D"/>
    <w:rsid w:val="00D7504F"/>
    <w:rsid w:val="00D7529B"/>
    <w:rsid w:val="00D75952"/>
    <w:rsid w:val="00D76122"/>
    <w:rsid w:val="00D76165"/>
    <w:rsid w:val="00D76E70"/>
    <w:rsid w:val="00D76F1B"/>
    <w:rsid w:val="00D774D3"/>
    <w:rsid w:val="00D7787D"/>
    <w:rsid w:val="00D77B8C"/>
    <w:rsid w:val="00D77D69"/>
    <w:rsid w:val="00D77F17"/>
    <w:rsid w:val="00D80042"/>
    <w:rsid w:val="00D8048D"/>
    <w:rsid w:val="00D80AD1"/>
    <w:rsid w:val="00D80BD7"/>
    <w:rsid w:val="00D813C7"/>
    <w:rsid w:val="00D830E8"/>
    <w:rsid w:val="00D851C6"/>
    <w:rsid w:val="00D85354"/>
    <w:rsid w:val="00D87186"/>
    <w:rsid w:val="00D87833"/>
    <w:rsid w:val="00D906F9"/>
    <w:rsid w:val="00D909B5"/>
    <w:rsid w:val="00D90F87"/>
    <w:rsid w:val="00D912EC"/>
    <w:rsid w:val="00D925BE"/>
    <w:rsid w:val="00D93AF0"/>
    <w:rsid w:val="00D94EF9"/>
    <w:rsid w:val="00D957FD"/>
    <w:rsid w:val="00D962BE"/>
    <w:rsid w:val="00D96461"/>
    <w:rsid w:val="00D968F6"/>
    <w:rsid w:val="00DA1B4D"/>
    <w:rsid w:val="00DA2D45"/>
    <w:rsid w:val="00DA4066"/>
    <w:rsid w:val="00DA4B0B"/>
    <w:rsid w:val="00DA506D"/>
    <w:rsid w:val="00DA7718"/>
    <w:rsid w:val="00DA7F64"/>
    <w:rsid w:val="00DB2E9B"/>
    <w:rsid w:val="00DB2ECE"/>
    <w:rsid w:val="00DB356B"/>
    <w:rsid w:val="00DB4545"/>
    <w:rsid w:val="00DB4E08"/>
    <w:rsid w:val="00DB4F3C"/>
    <w:rsid w:val="00DB517E"/>
    <w:rsid w:val="00DB534B"/>
    <w:rsid w:val="00DB5CB9"/>
    <w:rsid w:val="00DB5F75"/>
    <w:rsid w:val="00DB708B"/>
    <w:rsid w:val="00DC286D"/>
    <w:rsid w:val="00DC31E9"/>
    <w:rsid w:val="00DC3978"/>
    <w:rsid w:val="00DC5072"/>
    <w:rsid w:val="00DC6B21"/>
    <w:rsid w:val="00DC7789"/>
    <w:rsid w:val="00DD0144"/>
    <w:rsid w:val="00DD078C"/>
    <w:rsid w:val="00DD0C06"/>
    <w:rsid w:val="00DD1267"/>
    <w:rsid w:val="00DD450D"/>
    <w:rsid w:val="00DD5774"/>
    <w:rsid w:val="00DD5A10"/>
    <w:rsid w:val="00DD660D"/>
    <w:rsid w:val="00DD69B7"/>
    <w:rsid w:val="00DD7543"/>
    <w:rsid w:val="00DE05ED"/>
    <w:rsid w:val="00DE2551"/>
    <w:rsid w:val="00DE3777"/>
    <w:rsid w:val="00DE383E"/>
    <w:rsid w:val="00DE38C1"/>
    <w:rsid w:val="00DE44E5"/>
    <w:rsid w:val="00DE561E"/>
    <w:rsid w:val="00DE6AB4"/>
    <w:rsid w:val="00DF00E6"/>
    <w:rsid w:val="00DF07EE"/>
    <w:rsid w:val="00DF0C2C"/>
    <w:rsid w:val="00DF1577"/>
    <w:rsid w:val="00DF1C45"/>
    <w:rsid w:val="00DF21D9"/>
    <w:rsid w:val="00DF52D4"/>
    <w:rsid w:val="00DF6951"/>
    <w:rsid w:val="00DF74DC"/>
    <w:rsid w:val="00E006C1"/>
    <w:rsid w:val="00E00F56"/>
    <w:rsid w:val="00E019FF"/>
    <w:rsid w:val="00E01AB1"/>
    <w:rsid w:val="00E02B25"/>
    <w:rsid w:val="00E05031"/>
    <w:rsid w:val="00E05821"/>
    <w:rsid w:val="00E05B72"/>
    <w:rsid w:val="00E05C02"/>
    <w:rsid w:val="00E06372"/>
    <w:rsid w:val="00E064A6"/>
    <w:rsid w:val="00E10048"/>
    <w:rsid w:val="00E10B95"/>
    <w:rsid w:val="00E11080"/>
    <w:rsid w:val="00E12AF6"/>
    <w:rsid w:val="00E12ECF"/>
    <w:rsid w:val="00E136B6"/>
    <w:rsid w:val="00E1410B"/>
    <w:rsid w:val="00E1426A"/>
    <w:rsid w:val="00E14BC0"/>
    <w:rsid w:val="00E15A81"/>
    <w:rsid w:val="00E170A9"/>
    <w:rsid w:val="00E17A7E"/>
    <w:rsid w:val="00E17CC4"/>
    <w:rsid w:val="00E202BD"/>
    <w:rsid w:val="00E21CFF"/>
    <w:rsid w:val="00E21DFE"/>
    <w:rsid w:val="00E21EFC"/>
    <w:rsid w:val="00E220AB"/>
    <w:rsid w:val="00E221B7"/>
    <w:rsid w:val="00E225EE"/>
    <w:rsid w:val="00E227FB"/>
    <w:rsid w:val="00E23606"/>
    <w:rsid w:val="00E24B73"/>
    <w:rsid w:val="00E2570B"/>
    <w:rsid w:val="00E26E85"/>
    <w:rsid w:val="00E27425"/>
    <w:rsid w:val="00E2769E"/>
    <w:rsid w:val="00E27944"/>
    <w:rsid w:val="00E27BE1"/>
    <w:rsid w:val="00E309F1"/>
    <w:rsid w:val="00E316BA"/>
    <w:rsid w:val="00E32528"/>
    <w:rsid w:val="00E3449A"/>
    <w:rsid w:val="00E40C21"/>
    <w:rsid w:val="00E416CF"/>
    <w:rsid w:val="00E41D8C"/>
    <w:rsid w:val="00E42C8A"/>
    <w:rsid w:val="00E42FB8"/>
    <w:rsid w:val="00E43869"/>
    <w:rsid w:val="00E43CDD"/>
    <w:rsid w:val="00E43EC7"/>
    <w:rsid w:val="00E44879"/>
    <w:rsid w:val="00E44DA0"/>
    <w:rsid w:val="00E44ECB"/>
    <w:rsid w:val="00E45E1E"/>
    <w:rsid w:val="00E4613D"/>
    <w:rsid w:val="00E46AF7"/>
    <w:rsid w:val="00E47127"/>
    <w:rsid w:val="00E52C2A"/>
    <w:rsid w:val="00E53B94"/>
    <w:rsid w:val="00E545E7"/>
    <w:rsid w:val="00E5470B"/>
    <w:rsid w:val="00E55118"/>
    <w:rsid w:val="00E55508"/>
    <w:rsid w:val="00E56655"/>
    <w:rsid w:val="00E5740A"/>
    <w:rsid w:val="00E6128D"/>
    <w:rsid w:val="00E656A4"/>
    <w:rsid w:val="00E6633C"/>
    <w:rsid w:val="00E66EE0"/>
    <w:rsid w:val="00E67837"/>
    <w:rsid w:val="00E67998"/>
    <w:rsid w:val="00E71958"/>
    <w:rsid w:val="00E719FF"/>
    <w:rsid w:val="00E72851"/>
    <w:rsid w:val="00E73560"/>
    <w:rsid w:val="00E74100"/>
    <w:rsid w:val="00E7510D"/>
    <w:rsid w:val="00E7691B"/>
    <w:rsid w:val="00E773C6"/>
    <w:rsid w:val="00E80B58"/>
    <w:rsid w:val="00E80FCA"/>
    <w:rsid w:val="00E8258C"/>
    <w:rsid w:val="00E83D21"/>
    <w:rsid w:val="00E8419D"/>
    <w:rsid w:val="00E84498"/>
    <w:rsid w:val="00E84666"/>
    <w:rsid w:val="00E856C5"/>
    <w:rsid w:val="00E85D38"/>
    <w:rsid w:val="00E86536"/>
    <w:rsid w:val="00E86C5E"/>
    <w:rsid w:val="00E9099D"/>
    <w:rsid w:val="00E9141C"/>
    <w:rsid w:val="00E9412A"/>
    <w:rsid w:val="00E959E6"/>
    <w:rsid w:val="00E95AE9"/>
    <w:rsid w:val="00E9642A"/>
    <w:rsid w:val="00E96F66"/>
    <w:rsid w:val="00EA0884"/>
    <w:rsid w:val="00EA2603"/>
    <w:rsid w:val="00EA2F93"/>
    <w:rsid w:val="00EA416C"/>
    <w:rsid w:val="00EA4814"/>
    <w:rsid w:val="00EA4C98"/>
    <w:rsid w:val="00EA7DA8"/>
    <w:rsid w:val="00EB00AD"/>
    <w:rsid w:val="00EB0415"/>
    <w:rsid w:val="00EB0A6A"/>
    <w:rsid w:val="00EB0EE3"/>
    <w:rsid w:val="00EB1DF9"/>
    <w:rsid w:val="00EB266E"/>
    <w:rsid w:val="00EB2882"/>
    <w:rsid w:val="00EB2CF8"/>
    <w:rsid w:val="00EB3879"/>
    <w:rsid w:val="00EC031B"/>
    <w:rsid w:val="00EC0650"/>
    <w:rsid w:val="00EC0A33"/>
    <w:rsid w:val="00EC0EE2"/>
    <w:rsid w:val="00EC1223"/>
    <w:rsid w:val="00EC18B7"/>
    <w:rsid w:val="00EC1E77"/>
    <w:rsid w:val="00EC2CBE"/>
    <w:rsid w:val="00EC4C05"/>
    <w:rsid w:val="00EC513C"/>
    <w:rsid w:val="00EC6839"/>
    <w:rsid w:val="00EC6CF4"/>
    <w:rsid w:val="00EC71F7"/>
    <w:rsid w:val="00ED0E19"/>
    <w:rsid w:val="00ED22AA"/>
    <w:rsid w:val="00ED3498"/>
    <w:rsid w:val="00ED4137"/>
    <w:rsid w:val="00ED43A1"/>
    <w:rsid w:val="00ED43F8"/>
    <w:rsid w:val="00ED53ED"/>
    <w:rsid w:val="00ED5E8A"/>
    <w:rsid w:val="00ED6863"/>
    <w:rsid w:val="00ED6DBF"/>
    <w:rsid w:val="00ED6ECD"/>
    <w:rsid w:val="00ED7330"/>
    <w:rsid w:val="00ED73EF"/>
    <w:rsid w:val="00EE1F92"/>
    <w:rsid w:val="00EE2255"/>
    <w:rsid w:val="00EE6A1C"/>
    <w:rsid w:val="00EE6CCA"/>
    <w:rsid w:val="00EE7644"/>
    <w:rsid w:val="00EE7F69"/>
    <w:rsid w:val="00EF03B6"/>
    <w:rsid w:val="00EF06C3"/>
    <w:rsid w:val="00EF0938"/>
    <w:rsid w:val="00EF0A91"/>
    <w:rsid w:val="00EF29E2"/>
    <w:rsid w:val="00EF4D20"/>
    <w:rsid w:val="00EF7414"/>
    <w:rsid w:val="00F0083D"/>
    <w:rsid w:val="00F0095D"/>
    <w:rsid w:val="00F00BD8"/>
    <w:rsid w:val="00F02F5C"/>
    <w:rsid w:val="00F043D2"/>
    <w:rsid w:val="00F05ECC"/>
    <w:rsid w:val="00F06C7A"/>
    <w:rsid w:val="00F06E35"/>
    <w:rsid w:val="00F07057"/>
    <w:rsid w:val="00F073DE"/>
    <w:rsid w:val="00F07F8E"/>
    <w:rsid w:val="00F10C0E"/>
    <w:rsid w:val="00F10E07"/>
    <w:rsid w:val="00F12B53"/>
    <w:rsid w:val="00F1324B"/>
    <w:rsid w:val="00F137D1"/>
    <w:rsid w:val="00F13BC3"/>
    <w:rsid w:val="00F13C89"/>
    <w:rsid w:val="00F13D99"/>
    <w:rsid w:val="00F13E12"/>
    <w:rsid w:val="00F1464F"/>
    <w:rsid w:val="00F14F9C"/>
    <w:rsid w:val="00F14FCB"/>
    <w:rsid w:val="00F153B1"/>
    <w:rsid w:val="00F16B29"/>
    <w:rsid w:val="00F170AE"/>
    <w:rsid w:val="00F230FD"/>
    <w:rsid w:val="00F257A3"/>
    <w:rsid w:val="00F273E7"/>
    <w:rsid w:val="00F31074"/>
    <w:rsid w:val="00F3222A"/>
    <w:rsid w:val="00F33DD7"/>
    <w:rsid w:val="00F33F3A"/>
    <w:rsid w:val="00F342E5"/>
    <w:rsid w:val="00F3488D"/>
    <w:rsid w:val="00F35BB7"/>
    <w:rsid w:val="00F3684E"/>
    <w:rsid w:val="00F36F8E"/>
    <w:rsid w:val="00F36FFE"/>
    <w:rsid w:val="00F372AC"/>
    <w:rsid w:val="00F40BBA"/>
    <w:rsid w:val="00F4193E"/>
    <w:rsid w:val="00F42141"/>
    <w:rsid w:val="00F43101"/>
    <w:rsid w:val="00F44694"/>
    <w:rsid w:val="00F44C1C"/>
    <w:rsid w:val="00F45681"/>
    <w:rsid w:val="00F459E2"/>
    <w:rsid w:val="00F46518"/>
    <w:rsid w:val="00F50B88"/>
    <w:rsid w:val="00F525FE"/>
    <w:rsid w:val="00F52B21"/>
    <w:rsid w:val="00F53106"/>
    <w:rsid w:val="00F5372E"/>
    <w:rsid w:val="00F5383E"/>
    <w:rsid w:val="00F547BE"/>
    <w:rsid w:val="00F54C9C"/>
    <w:rsid w:val="00F55782"/>
    <w:rsid w:val="00F55D2F"/>
    <w:rsid w:val="00F564C5"/>
    <w:rsid w:val="00F56D0D"/>
    <w:rsid w:val="00F606E6"/>
    <w:rsid w:val="00F610AA"/>
    <w:rsid w:val="00F6155C"/>
    <w:rsid w:val="00F61C40"/>
    <w:rsid w:val="00F623E5"/>
    <w:rsid w:val="00F6255E"/>
    <w:rsid w:val="00F62648"/>
    <w:rsid w:val="00F63D32"/>
    <w:rsid w:val="00F6403B"/>
    <w:rsid w:val="00F65158"/>
    <w:rsid w:val="00F6532D"/>
    <w:rsid w:val="00F6593B"/>
    <w:rsid w:val="00F663AD"/>
    <w:rsid w:val="00F66D95"/>
    <w:rsid w:val="00F67387"/>
    <w:rsid w:val="00F7001B"/>
    <w:rsid w:val="00F703A9"/>
    <w:rsid w:val="00F706D9"/>
    <w:rsid w:val="00F72EDE"/>
    <w:rsid w:val="00F73449"/>
    <w:rsid w:val="00F73F1B"/>
    <w:rsid w:val="00F7588F"/>
    <w:rsid w:val="00F75916"/>
    <w:rsid w:val="00F75A75"/>
    <w:rsid w:val="00F76C2B"/>
    <w:rsid w:val="00F776C5"/>
    <w:rsid w:val="00F77709"/>
    <w:rsid w:val="00F80831"/>
    <w:rsid w:val="00F80A12"/>
    <w:rsid w:val="00F81858"/>
    <w:rsid w:val="00F81B57"/>
    <w:rsid w:val="00F82465"/>
    <w:rsid w:val="00F82A4D"/>
    <w:rsid w:val="00F84405"/>
    <w:rsid w:val="00F853E3"/>
    <w:rsid w:val="00F8572A"/>
    <w:rsid w:val="00F86881"/>
    <w:rsid w:val="00F919DD"/>
    <w:rsid w:val="00F93B03"/>
    <w:rsid w:val="00F94106"/>
    <w:rsid w:val="00F952DF"/>
    <w:rsid w:val="00F962A5"/>
    <w:rsid w:val="00F9674A"/>
    <w:rsid w:val="00F969CB"/>
    <w:rsid w:val="00F96EA5"/>
    <w:rsid w:val="00FA0B35"/>
    <w:rsid w:val="00FA1390"/>
    <w:rsid w:val="00FA2782"/>
    <w:rsid w:val="00FA291F"/>
    <w:rsid w:val="00FA6A25"/>
    <w:rsid w:val="00FA767C"/>
    <w:rsid w:val="00FA7B5B"/>
    <w:rsid w:val="00FB0F97"/>
    <w:rsid w:val="00FB1CA5"/>
    <w:rsid w:val="00FB223C"/>
    <w:rsid w:val="00FB25A3"/>
    <w:rsid w:val="00FB261D"/>
    <w:rsid w:val="00FB37E4"/>
    <w:rsid w:val="00FB3C69"/>
    <w:rsid w:val="00FB4679"/>
    <w:rsid w:val="00FB5069"/>
    <w:rsid w:val="00FB6C1A"/>
    <w:rsid w:val="00FB7506"/>
    <w:rsid w:val="00FC0046"/>
    <w:rsid w:val="00FC04FF"/>
    <w:rsid w:val="00FC0909"/>
    <w:rsid w:val="00FC0ECB"/>
    <w:rsid w:val="00FC1DFD"/>
    <w:rsid w:val="00FC215E"/>
    <w:rsid w:val="00FC26FF"/>
    <w:rsid w:val="00FC2FC5"/>
    <w:rsid w:val="00FC35F4"/>
    <w:rsid w:val="00FC3E3D"/>
    <w:rsid w:val="00FC4CCA"/>
    <w:rsid w:val="00FC5055"/>
    <w:rsid w:val="00FC5CC9"/>
    <w:rsid w:val="00FC670A"/>
    <w:rsid w:val="00FC6822"/>
    <w:rsid w:val="00FC7515"/>
    <w:rsid w:val="00FD0F3B"/>
    <w:rsid w:val="00FD22F4"/>
    <w:rsid w:val="00FD2696"/>
    <w:rsid w:val="00FD2C34"/>
    <w:rsid w:val="00FD2C7E"/>
    <w:rsid w:val="00FD3632"/>
    <w:rsid w:val="00FD5054"/>
    <w:rsid w:val="00FD54FC"/>
    <w:rsid w:val="00FD5794"/>
    <w:rsid w:val="00FD5B7F"/>
    <w:rsid w:val="00FD5BA9"/>
    <w:rsid w:val="00FD7A3F"/>
    <w:rsid w:val="00FD7D30"/>
    <w:rsid w:val="00FE0CF5"/>
    <w:rsid w:val="00FE6724"/>
    <w:rsid w:val="00FE7623"/>
    <w:rsid w:val="00FE7A5C"/>
    <w:rsid w:val="00FE7E92"/>
    <w:rsid w:val="00FF3242"/>
    <w:rsid w:val="00FF4210"/>
    <w:rsid w:val="00FF7071"/>
    <w:rsid w:val="00FF76B2"/>
    <w:rsid w:val="00FF7745"/>
    <w:rsid w:val="00FF7BD4"/>
    <w:rsid w:val="03F63DF7"/>
    <w:rsid w:val="179664AD"/>
    <w:rsid w:val="3326116B"/>
    <w:rsid w:val="3AF8579A"/>
    <w:rsid w:val="476671AA"/>
    <w:rsid w:val="4AEE2281"/>
    <w:rsid w:val="75B6AB90"/>
    <w:rsid w:val="D83F9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qFormat="1" w:unhideWhenUsed="0" w:uiPriority="0" w:semiHidden="0"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bCs/>
      <w:kern w:val="2"/>
      <w:sz w:val="28"/>
      <w:szCs w:val="24"/>
      <w:lang w:val="en-US" w:eastAsia="zh-CN" w:bidi="ar-SA"/>
    </w:rPr>
  </w:style>
  <w:style w:type="paragraph" w:styleId="2">
    <w:name w:val="heading 1"/>
    <w:basedOn w:val="1"/>
    <w:next w:val="1"/>
    <w:link w:val="80"/>
    <w:qFormat/>
    <w:uiPriority w:val="0"/>
    <w:pPr>
      <w:keepNext/>
      <w:keepLines/>
      <w:numPr>
        <w:ilvl w:val="0"/>
        <w:numId w:val="1"/>
      </w:numPr>
      <w:spacing w:before="240" w:beforeLines="100" w:after="240" w:afterLines="100"/>
      <w:outlineLvl w:val="0"/>
    </w:pPr>
    <w:rPr>
      <w:b/>
      <w:bCs w:val="0"/>
      <w:kern w:val="44"/>
      <w:sz w:val="32"/>
      <w:szCs w:val="44"/>
    </w:rPr>
  </w:style>
  <w:style w:type="paragraph" w:styleId="3">
    <w:name w:val="heading 2"/>
    <w:basedOn w:val="1"/>
    <w:next w:val="1"/>
    <w:link w:val="81"/>
    <w:unhideWhenUsed/>
    <w:qFormat/>
    <w:uiPriority w:val="0"/>
    <w:pPr>
      <w:keepNext/>
      <w:keepLines/>
      <w:numPr>
        <w:ilvl w:val="1"/>
        <w:numId w:val="1"/>
      </w:numPr>
      <w:spacing w:before="100" w:beforeLines="100" w:after="100" w:afterLines="100"/>
      <w:outlineLvl w:val="1"/>
    </w:pPr>
    <w:rPr>
      <w:rFonts w:eastAsiaTheme="majorEastAsia" w:cstheme="majorBidi"/>
      <w:b/>
      <w:szCs w:val="32"/>
    </w:rPr>
  </w:style>
  <w:style w:type="paragraph" w:styleId="4">
    <w:name w:val="heading 3"/>
    <w:basedOn w:val="1"/>
    <w:next w:val="1"/>
    <w:link w:val="82"/>
    <w:qFormat/>
    <w:uiPriority w:val="0"/>
    <w:pPr>
      <w:keepNext/>
      <w:keepLines/>
      <w:numPr>
        <w:ilvl w:val="2"/>
        <w:numId w:val="1"/>
      </w:numPr>
      <w:spacing w:before="240" w:beforeLines="100" w:after="240" w:afterLines="100"/>
      <w:outlineLvl w:val="2"/>
    </w:pPr>
    <w:rPr>
      <w:b/>
      <w:bCs w:val="0"/>
      <w:szCs w:val="32"/>
    </w:rPr>
  </w:style>
  <w:style w:type="paragraph" w:styleId="5">
    <w:name w:val="heading 4"/>
    <w:basedOn w:val="1"/>
    <w:next w:val="1"/>
    <w:link w:val="83"/>
    <w:unhideWhenUsed/>
    <w:qFormat/>
    <w:uiPriority w:val="0"/>
    <w:pPr>
      <w:keepNext/>
      <w:keepLines/>
      <w:numPr>
        <w:ilvl w:val="3"/>
        <w:numId w:val="1"/>
      </w:numPr>
      <w:spacing w:before="100" w:beforeLines="100" w:after="100" w:afterLines="100"/>
      <w:outlineLvl w:val="3"/>
    </w:pPr>
    <w:rPr>
      <w:rFonts w:eastAsiaTheme="majorEastAsia" w:cstheme="majorBidi"/>
      <w:b/>
      <w:szCs w:val="28"/>
    </w:rPr>
  </w:style>
  <w:style w:type="paragraph" w:styleId="6">
    <w:name w:val="heading 5"/>
    <w:basedOn w:val="1"/>
    <w:next w:val="1"/>
    <w:link w:val="84"/>
    <w:unhideWhenUsed/>
    <w:qFormat/>
    <w:uiPriority w:val="0"/>
    <w:pPr>
      <w:keepNext/>
      <w:keepLines/>
      <w:numPr>
        <w:ilvl w:val="4"/>
        <w:numId w:val="1"/>
      </w:numPr>
      <w:spacing w:before="280" w:after="290" w:line="376" w:lineRule="auto"/>
      <w:outlineLvl w:val="4"/>
    </w:pPr>
    <w:rPr>
      <w:b/>
      <w:bCs w:val="0"/>
      <w:szCs w:val="28"/>
    </w:rPr>
  </w:style>
  <w:style w:type="paragraph" w:styleId="7">
    <w:name w:val="heading 6"/>
    <w:basedOn w:val="1"/>
    <w:next w:val="8"/>
    <w:link w:val="147"/>
    <w:qFormat/>
    <w:uiPriority w:val="0"/>
    <w:pPr>
      <w:numPr>
        <w:ilvl w:val="5"/>
        <w:numId w:val="1"/>
      </w:numPr>
      <w:tabs>
        <w:tab w:val="left" w:pos="9255"/>
      </w:tabs>
      <w:spacing w:line="520" w:lineRule="atLeast"/>
      <w:ind w:firstLine="0" w:firstLineChars="0"/>
      <w:outlineLvl w:val="5"/>
    </w:pPr>
    <w:rPr>
      <w:bCs w:val="0"/>
      <w:szCs w:val="20"/>
    </w:rPr>
  </w:style>
  <w:style w:type="paragraph" w:styleId="9">
    <w:name w:val="heading 7"/>
    <w:basedOn w:val="1"/>
    <w:next w:val="8"/>
    <w:link w:val="148"/>
    <w:qFormat/>
    <w:uiPriority w:val="0"/>
    <w:pPr>
      <w:keepNext/>
      <w:keepLines/>
      <w:numPr>
        <w:ilvl w:val="6"/>
        <w:numId w:val="1"/>
      </w:numPr>
      <w:tabs>
        <w:tab w:val="left" w:pos="9675"/>
      </w:tabs>
      <w:spacing w:before="240" w:after="64" w:line="320" w:lineRule="auto"/>
      <w:ind w:firstLine="0" w:firstLineChars="0"/>
      <w:outlineLvl w:val="6"/>
    </w:pPr>
    <w:rPr>
      <w:b/>
      <w:bCs w:val="0"/>
      <w:szCs w:val="20"/>
    </w:rPr>
  </w:style>
  <w:style w:type="paragraph" w:styleId="10">
    <w:name w:val="heading 8"/>
    <w:basedOn w:val="1"/>
    <w:next w:val="8"/>
    <w:link w:val="149"/>
    <w:qFormat/>
    <w:uiPriority w:val="0"/>
    <w:pPr>
      <w:keepNext/>
      <w:keepLines/>
      <w:numPr>
        <w:ilvl w:val="7"/>
        <w:numId w:val="1"/>
      </w:numPr>
      <w:tabs>
        <w:tab w:val="left" w:pos="10095"/>
      </w:tabs>
      <w:spacing w:before="240" w:after="64" w:line="320" w:lineRule="auto"/>
      <w:ind w:firstLine="0" w:firstLineChars="0"/>
      <w:outlineLvl w:val="7"/>
    </w:pPr>
    <w:rPr>
      <w:rFonts w:ascii="Arial" w:hAnsi="Arial" w:eastAsia="黑体"/>
      <w:bCs w:val="0"/>
      <w:szCs w:val="20"/>
    </w:rPr>
  </w:style>
  <w:style w:type="paragraph" w:styleId="11">
    <w:name w:val="heading 9"/>
    <w:basedOn w:val="1"/>
    <w:next w:val="8"/>
    <w:link w:val="150"/>
    <w:qFormat/>
    <w:uiPriority w:val="0"/>
    <w:pPr>
      <w:keepNext/>
      <w:keepLines/>
      <w:numPr>
        <w:ilvl w:val="8"/>
        <w:numId w:val="1"/>
      </w:numPr>
      <w:tabs>
        <w:tab w:val="left" w:pos="10515"/>
      </w:tabs>
      <w:spacing w:before="240" w:after="64" w:line="320" w:lineRule="auto"/>
      <w:ind w:firstLine="0" w:firstLineChars="0"/>
      <w:outlineLvl w:val="8"/>
    </w:pPr>
    <w:rPr>
      <w:rFonts w:ascii="Arial" w:hAnsi="Arial" w:eastAsia="黑体"/>
      <w:bCs w:val="0"/>
      <w:szCs w:val="20"/>
    </w:rPr>
  </w:style>
  <w:style w:type="character" w:default="1" w:styleId="72">
    <w:name w:val="Default Paragraph Font"/>
    <w:semiHidden/>
    <w:unhideWhenUsed/>
    <w:qFormat/>
    <w:uiPriority w:val="1"/>
  </w:style>
  <w:style w:type="table" w:default="1" w:styleId="65">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273"/>
    <w:qFormat/>
    <w:uiPriority w:val="0"/>
    <w:pPr>
      <w:ind w:firstLine="420"/>
    </w:pPr>
    <w:rPr>
      <w:szCs w:val="20"/>
    </w:rPr>
  </w:style>
  <w:style w:type="paragraph" w:styleId="12">
    <w:name w:val="List 3"/>
    <w:basedOn w:val="1"/>
    <w:qFormat/>
    <w:uiPriority w:val="0"/>
    <w:pPr>
      <w:ind w:left="1260" w:hanging="420"/>
    </w:pPr>
    <w:rPr>
      <w:bCs w:val="0"/>
      <w:szCs w:val="20"/>
    </w:rPr>
  </w:style>
  <w:style w:type="paragraph" w:styleId="13">
    <w:name w:val="toc 7"/>
    <w:basedOn w:val="1"/>
    <w:next w:val="1"/>
    <w:unhideWhenUsed/>
    <w:qFormat/>
    <w:uiPriority w:val="39"/>
    <w:pPr>
      <w:spacing w:line="240" w:lineRule="auto"/>
      <w:ind w:left="2520" w:leftChars="1200" w:firstLine="0" w:firstLineChars="0"/>
    </w:pPr>
    <w:rPr>
      <w:rFonts w:asciiTheme="minorHAnsi" w:hAnsiTheme="minorHAnsi" w:eastAsiaTheme="minorEastAsia" w:cstheme="minorBidi"/>
      <w:bCs w:val="0"/>
      <w:sz w:val="21"/>
      <w:szCs w:val="22"/>
    </w:rPr>
  </w:style>
  <w:style w:type="paragraph" w:styleId="14">
    <w:name w:val="List Number 2"/>
    <w:basedOn w:val="1"/>
    <w:qFormat/>
    <w:uiPriority w:val="0"/>
    <w:pPr>
      <w:tabs>
        <w:tab w:val="left" w:pos="780"/>
      </w:tabs>
      <w:ind w:left="780" w:hanging="360"/>
    </w:pPr>
    <w:rPr>
      <w:bCs w:val="0"/>
      <w:szCs w:val="20"/>
    </w:rPr>
  </w:style>
  <w:style w:type="paragraph" w:styleId="15">
    <w:name w:val="Note Heading"/>
    <w:basedOn w:val="1"/>
    <w:next w:val="1"/>
    <w:link w:val="557"/>
    <w:qFormat/>
    <w:uiPriority w:val="0"/>
    <w:pPr>
      <w:autoSpaceDE w:val="0"/>
      <w:autoSpaceDN w:val="0"/>
      <w:adjustRightInd w:val="0"/>
      <w:spacing w:line="520" w:lineRule="atLeast"/>
      <w:jc w:val="center"/>
    </w:pPr>
    <w:rPr>
      <w:rFonts w:ascii="宋体"/>
      <w:bCs w:val="0"/>
      <w:kern w:val="0"/>
      <w:szCs w:val="20"/>
      <w:lang w:val="zh-CN"/>
    </w:rPr>
  </w:style>
  <w:style w:type="paragraph" w:styleId="16">
    <w:name w:val="List Bullet 4"/>
    <w:basedOn w:val="1"/>
    <w:qFormat/>
    <w:uiPriority w:val="0"/>
    <w:pPr>
      <w:tabs>
        <w:tab w:val="left" w:pos="1620"/>
      </w:tabs>
      <w:ind w:left="1620" w:hanging="360"/>
    </w:pPr>
    <w:rPr>
      <w:bCs w:val="0"/>
      <w:szCs w:val="20"/>
    </w:rPr>
  </w:style>
  <w:style w:type="paragraph" w:styleId="17">
    <w:name w:val="List Number"/>
    <w:basedOn w:val="1"/>
    <w:qFormat/>
    <w:uiPriority w:val="0"/>
    <w:pPr>
      <w:tabs>
        <w:tab w:val="left" w:pos="360"/>
      </w:tabs>
      <w:ind w:left="360" w:hanging="360"/>
    </w:pPr>
    <w:rPr>
      <w:bCs w:val="0"/>
      <w:szCs w:val="20"/>
    </w:rPr>
  </w:style>
  <w:style w:type="paragraph" w:styleId="18">
    <w:name w:val="caption"/>
    <w:basedOn w:val="1"/>
    <w:next w:val="1"/>
    <w:qFormat/>
    <w:uiPriority w:val="0"/>
    <w:pPr>
      <w:spacing w:before="152" w:after="160"/>
    </w:pPr>
    <w:rPr>
      <w:rFonts w:ascii="Arial" w:hAnsi="Arial" w:eastAsia="黑体"/>
      <w:bCs w:val="0"/>
      <w:szCs w:val="20"/>
    </w:rPr>
  </w:style>
  <w:style w:type="paragraph" w:styleId="19">
    <w:name w:val="index 5"/>
    <w:basedOn w:val="1"/>
    <w:next w:val="1"/>
    <w:unhideWhenUsed/>
    <w:qFormat/>
    <w:uiPriority w:val="99"/>
    <w:pPr>
      <w:spacing w:line="560" w:lineRule="exact"/>
      <w:ind w:firstLine="560"/>
    </w:pPr>
  </w:style>
  <w:style w:type="paragraph" w:styleId="20">
    <w:name w:val="List Bullet"/>
    <w:basedOn w:val="1"/>
    <w:qFormat/>
    <w:uiPriority w:val="0"/>
    <w:pPr>
      <w:tabs>
        <w:tab w:val="left" w:pos="425"/>
      </w:tabs>
      <w:adjustRightInd w:val="0"/>
      <w:ind w:left="425" w:hanging="425"/>
      <w:textAlignment w:val="baseline"/>
    </w:pPr>
    <w:rPr>
      <w:bCs w:val="0"/>
      <w:kern w:val="0"/>
      <w:szCs w:val="20"/>
    </w:rPr>
  </w:style>
  <w:style w:type="paragraph" w:styleId="21">
    <w:name w:val="Document Map"/>
    <w:basedOn w:val="1"/>
    <w:link w:val="87"/>
    <w:unhideWhenUsed/>
    <w:qFormat/>
    <w:uiPriority w:val="0"/>
    <w:rPr>
      <w:rFonts w:ascii="宋体"/>
      <w:sz w:val="18"/>
      <w:szCs w:val="18"/>
    </w:rPr>
  </w:style>
  <w:style w:type="paragraph" w:styleId="22">
    <w:name w:val="toa heading"/>
    <w:basedOn w:val="1"/>
    <w:next w:val="23"/>
    <w:qFormat/>
    <w:uiPriority w:val="0"/>
    <w:pPr>
      <w:adjustRightInd w:val="0"/>
      <w:snapToGrid w:val="0"/>
      <w:spacing w:before="240" w:after="720" w:line="420" w:lineRule="exact"/>
      <w:jc w:val="center"/>
      <w:textAlignment w:val="baseline"/>
    </w:pPr>
    <w:rPr>
      <w:rFonts w:ascii="Arial" w:hAnsi="Arial"/>
      <w:b/>
      <w:bCs w:val="0"/>
      <w:caps/>
      <w:snapToGrid w:val="0"/>
      <w:kern w:val="0"/>
      <w:sz w:val="44"/>
    </w:rPr>
  </w:style>
  <w:style w:type="paragraph" w:styleId="23">
    <w:name w:val="Body Text First Indent"/>
    <w:basedOn w:val="24"/>
    <w:link w:val="145"/>
    <w:unhideWhenUsed/>
    <w:qFormat/>
    <w:uiPriority w:val="0"/>
    <w:pPr>
      <w:ind w:firstLine="420" w:firstLineChars="100"/>
    </w:pPr>
  </w:style>
  <w:style w:type="paragraph" w:styleId="24">
    <w:name w:val="Body Text"/>
    <w:basedOn w:val="1"/>
    <w:link w:val="99"/>
    <w:unhideWhenUsed/>
    <w:qFormat/>
    <w:uiPriority w:val="99"/>
    <w:pPr>
      <w:spacing w:after="120"/>
    </w:pPr>
  </w:style>
  <w:style w:type="paragraph" w:styleId="25">
    <w:name w:val="annotation text"/>
    <w:basedOn w:val="1"/>
    <w:link w:val="116"/>
    <w:unhideWhenUsed/>
    <w:qFormat/>
    <w:uiPriority w:val="0"/>
    <w:pPr>
      <w:jc w:val="left"/>
    </w:pPr>
  </w:style>
  <w:style w:type="paragraph" w:styleId="26">
    <w:name w:val="Body Text 3"/>
    <w:basedOn w:val="1"/>
    <w:link w:val="151"/>
    <w:qFormat/>
    <w:uiPriority w:val="0"/>
    <w:pPr>
      <w:spacing w:line="300" w:lineRule="exact"/>
      <w:ind w:firstLine="0" w:firstLineChars="0"/>
    </w:pPr>
    <w:rPr>
      <w:rFonts w:ascii="宋体" w:hAnsi="宋体"/>
      <w:bCs w:val="0"/>
      <w:sz w:val="22"/>
      <w:szCs w:val="20"/>
    </w:rPr>
  </w:style>
  <w:style w:type="paragraph" w:styleId="27">
    <w:name w:val="List Bullet 3"/>
    <w:basedOn w:val="1"/>
    <w:qFormat/>
    <w:uiPriority w:val="0"/>
    <w:pPr>
      <w:tabs>
        <w:tab w:val="left" w:pos="1200"/>
      </w:tabs>
      <w:adjustRightInd w:val="0"/>
      <w:snapToGrid w:val="0"/>
      <w:spacing w:line="312" w:lineRule="atLeast"/>
      <w:ind w:left="1200" w:hanging="360"/>
      <w:textAlignment w:val="baseline"/>
    </w:pPr>
    <w:rPr>
      <w:bCs w:val="0"/>
      <w:snapToGrid w:val="0"/>
      <w:kern w:val="0"/>
    </w:rPr>
  </w:style>
  <w:style w:type="paragraph" w:styleId="28">
    <w:name w:val="Body Text Indent"/>
    <w:basedOn w:val="1"/>
    <w:link w:val="89"/>
    <w:qFormat/>
    <w:uiPriority w:val="0"/>
    <w:pPr>
      <w:spacing w:after="120"/>
      <w:ind w:left="420" w:leftChars="200"/>
    </w:pPr>
  </w:style>
  <w:style w:type="paragraph" w:styleId="29">
    <w:name w:val="List Number 3"/>
    <w:basedOn w:val="1"/>
    <w:qFormat/>
    <w:uiPriority w:val="0"/>
    <w:pPr>
      <w:tabs>
        <w:tab w:val="left" w:pos="1200"/>
      </w:tabs>
      <w:ind w:left="1200" w:hanging="360"/>
    </w:pPr>
    <w:rPr>
      <w:bCs w:val="0"/>
      <w:szCs w:val="20"/>
    </w:rPr>
  </w:style>
  <w:style w:type="paragraph" w:styleId="30">
    <w:name w:val="List 2"/>
    <w:basedOn w:val="1"/>
    <w:qFormat/>
    <w:uiPriority w:val="0"/>
    <w:pPr>
      <w:ind w:left="840" w:hanging="420"/>
    </w:pPr>
    <w:rPr>
      <w:bCs w:val="0"/>
      <w:szCs w:val="20"/>
    </w:rPr>
  </w:style>
  <w:style w:type="paragraph" w:styleId="31">
    <w:name w:val="Block Text"/>
    <w:basedOn w:val="1"/>
    <w:qFormat/>
    <w:uiPriority w:val="0"/>
    <w:pPr>
      <w:adjustRightInd w:val="0"/>
      <w:snapToGrid w:val="0"/>
      <w:spacing w:line="460" w:lineRule="exact"/>
      <w:ind w:left="-425" w:right="-113"/>
    </w:pPr>
    <w:rPr>
      <w:rFonts w:ascii="仿宋_GB2312" w:hAnsi="Calibri"/>
      <w:bCs w:val="0"/>
    </w:rPr>
  </w:style>
  <w:style w:type="paragraph" w:styleId="32">
    <w:name w:val="List Bullet 2"/>
    <w:basedOn w:val="1"/>
    <w:qFormat/>
    <w:uiPriority w:val="0"/>
    <w:pPr>
      <w:tabs>
        <w:tab w:val="left" w:pos="780"/>
      </w:tabs>
      <w:adjustRightInd w:val="0"/>
      <w:snapToGrid w:val="0"/>
      <w:spacing w:line="420" w:lineRule="exact"/>
      <w:ind w:left="780" w:leftChars="200" w:hanging="360" w:hangingChars="200"/>
      <w:textAlignment w:val="baseline"/>
    </w:pPr>
    <w:rPr>
      <w:bCs w:val="0"/>
      <w:snapToGrid w:val="0"/>
      <w:kern w:val="0"/>
    </w:rPr>
  </w:style>
  <w:style w:type="paragraph" w:styleId="33">
    <w:name w:val="toc 5"/>
    <w:basedOn w:val="1"/>
    <w:next w:val="1"/>
    <w:unhideWhenUsed/>
    <w:qFormat/>
    <w:uiPriority w:val="39"/>
    <w:pPr>
      <w:spacing w:line="240" w:lineRule="auto"/>
      <w:ind w:left="1680" w:leftChars="800" w:firstLine="0" w:firstLineChars="0"/>
    </w:pPr>
    <w:rPr>
      <w:rFonts w:asciiTheme="minorHAnsi" w:hAnsiTheme="minorHAnsi" w:eastAsiaTheme="minorEastAsia" w:cstheme="minorBidi"/>
      <w:bCs w:val="0"/>
      <w:sz w:val="21"/>
      <w:szCs w:val="22"/>
    </w:rPr>
  </w:style>
  <w:style w:type="paragraph" w:styleId="34">
    <w:name w:val="toc 3"/>
    <w:basedOn w:val="1"/>
    <w:next w:val="1"/>
    <w:unhideWhenUsed/>
    <w:qFormat/>
    <w:uiPriority w:val="39"/>
    <w:pPr>
      <w:ind w:left="840" w:leftChars="400"/>
    </w:pPr>
  </w:style>
  <w:style w:type="paragraph" w:styleId="35">
    <w:name w:val="Plain Text"/>
    <w:basedOn w:val="1"/>
    <w:link w:val="85"/>
    <w:qFormat/>
    <w:uiPriority w:val="0"/>
    <w:rPr>
      <w:rFonts w:ascii="宋体" w:hAnsi="Courier New"/>
      <w:szCs w:val="20"/>
    </w:rPr>
  </w:style>
  <w:style w:type="paragraph" w:styleId="36">
    <w:name w:val="List Bullet 5"/>
    <w:basedOn w:val="1"/>
    <w:qFormat/>
    <w:uiPriority w:val="0"/>
    <w:pPr>
      <w:tabs>
        <w:tab w:val="left" w:pos="2040"/>
      </w:tabs>
      <w:ind w:left="2040" w:hanging="360"/>
    </w:pPr>
    <w:rPr>
      <w:bCs w:val="0"/>
      <w:szCs w:val="20"/>
    </w:rPr>
  </w:style>
  <w:style w:type="paragraph" w:styleId="37">
    <w:name w:val="List Number 4"/>
    <w:basedOn w:val="1"/>
    <w:qFormat/>
    <w:uiPriority w:val="0"/>
    <w:pPr>
      <w:tabs>
        <w:tab w:val="left" w:pos="1620"/>
      </w:tabs>
      <w:ind w:left="1620" w:hanging="360"/>
    </w:pPr>
    <w:rPr>
      <w:bCs w:val="0"/>
      <w:szCs w:val="20"/>
    </w:rPr>
  </w:style>
  <w:style w:type="paragraph" w:styleId="38">
    <w:name w:val="toc 8"/>
    <w:basedOn w:val="1"/>
    <w:next w:val="1"/>
    <w:unhideWhenUsed/>
    <w:qFormat/>
    <w:uiPriority w:val="39"/>
    <w:pPr>
      <w:spacing w:line="240" w:lineRule="auto"/>
      <w:ind w:left="2940" w:leftChars="1400" w:firstLine="0" w:firstLineChars="0"/>
    </w:pPr>
    <w:rPr>
      <w:rFonts w:asciiTheme="minorHAnsi" w:hAnsiTheme="minorHAnsi" w:eastAsiaTheme="minorEastAsia" w:cstheme="minorBidi"/>
      <w:bCs w:val="0"/>
      <w:sz w:val="21"/>
      <w:szCs w:val="22"/>
    </w:rPr>
  </w:style>
  <w:style w:type="paragraph" w:styleId="39">
    <w:name w:val="Date"/>
    <w:basedOn w:val="1"/>
    <w:next w:val="1"/>
    <w:link w:val="98"/>
    <w:unhideWhenUsed/>
    <w:qFormat/>
    <w:uiPriority w:val="0"/>
    <w:pPr>
      <w:ind w:left="100" w:leftChars="2500"/>
    </w:pPr>
  </w:style>
  <w:style w:type="paragraph" w:styleId="40">
    <w:name w:val="Body Text Indent 2"/>
    <w:basedOn w:val="1"/>
    <w:link w:val="152"/>
    <w:qFormat/>
    <w:uiPriority w:val="0"/>
    <w:pPr>
      <w:widowControl/>
      <w:spacing w:line="480" w:lineRule="exact"/>
      <w:ind w:left="420" w:firstLine="0" w:firstLineChars="0"/>
      <w:jc w:val="left"/>
    </w:pPr>
    <w:rPr>
      <w:bCs w:val="0"/>
      <w:kern w:val="0"/>
    </w:rPr>
  </w:style>
  <w:style w:type="paragraph" w:styleId="41">
    <w:name w:val="Balloon Text"/>
    <w:basedOn w:val="1"/>
    <w:link w:val="91"/>
    <w:unhideWhenUsed/>
    <w:qFormat/>
    <w:uiPriority w:val="99"/>
    <w:rPr>
      <w:sz w:val="18"/>
      <w:szCs w:val="18"/>
    </w:rPr>
  </w:style>
  <w:style w:type="paragraph" w:styleId="42">
    <w:name w:val="footer"/>
    <w:basedOn w:val="1"/>
    <w:link w:val="88"/>
    <w:qFormat/>
    <w:uiPriority w:val="0"/>
    <w:pPr>
      <w:tabs>
        <w:tab w:val="center" w:pos="4153"/>
        <w:tab w:val="right" w:pos="8306"/>
      </w:tabs>
      <w:snapToGrid w:val="0"/>
      <w:jc w:val="left"/>
    </w:pPr>
    <w:rPr>
      <w:sz w:val="18"/>
      <w:szCs w:val="18"/>
    </w:rPr>
  </w:style>
  <w:style w:type="paragraph" w:styleId="43">
    <w:name w:val="header"/>
    <w:basedOn w:val="1"/>
    <w:link w:val="110"/>
    <w:unhideWhenUsed/>
    <w:qFormat/>
    <w:uiPriority w:val="0"/>
    <w:pPr>
      <w:pBdr>
        <w:bottom w:val="single" w:color="auto" w:sz="6" w:space="1"/>
      </w:pBdr>
      <w:tabs>
        <w:tab w:val="center" w:pos="4153"/>
        <w:tab w:val="right" w:pos="8306"/>
      </w:tabs>
      <w:snapToGrid w:val="0"/>
      <w:jc w:val="center"/>
    </w:pPr>
    <w:rPr>
      <w:sz w:val="18"/>
      <w:szCs w:val="18"/>
    </w:rPr>
  </w:style>
  <w:style w:type="paragraph" w:styleId="44">
    <w:name w:val="toc 1"/>
    <w:basedOn w:val="1"/>
    <w:next w:val="1"/>
    <w:unhideWhenUsed/>
    <w:qFormat/>
    <w:uiPriority w:val="39"/>
    <w:pPr>
      <w:tabs>
        <w:tab w:val="right" w:leader="dot" w:pos="8396"/>
      </w:tabs>
      <w:ind w:firstLine="482"/>
      <w:jc w:val="center"/>
    </w:pPr>
    <w:rPr>
      <w:b/>
    </w:rPr>
  </w:style>
  <w:style w:type="paragraph" w:styleId="45">
    <w:name w:val="List Continue 4"/>
    <w:basedOn w:val="1"/>
    <w:qFormat/>
    <w:uiPriority w:val="0"/>
    <w:pPr>
      <w:spacing w:after="120"/>
      <w:ind w:left="1680"/>
    </w:pPr>
    <w:rPr>
      <w:bCs w:val="0"/>
      <w:szCs w:val="20"/>
    </w:rPr>
  </w:style>
  <w:style w:type="paragraph" w:styleId="46">
    <w:name w:val="toc 4"/>
    <w:basedOn w:val="1"/>
    <w:next w:val="1"/>
    <w:unhideWhenUsed/>
    <w:qFormat/>
    <w:uiPriority w:val="39"/>
    <w:pPr>
      <w:spacing w:line="240" w:lineRule="auto"/>
      <w:ind w:left="1260" w:leftChars="600" w:firstLine="0" w:firstLineChars="0"/>
    </w:pPr>
    <w:rPr>
      <w:rFonts w:asciiTheme="minorHAnsi" w:hAnsiTheme="minorHAnsi" w:eastAsiaTheme="minorEastAsia" w:cstheme="minorBidi"/>
      <w:bCs w:val="0"/>
      <w:sz w:val="21"/>
      <w:szCs w:val="22"/>
    </w:rPr>
  </w:style>
  <w:style w:type="paragraph" w:styleId="47">
    <w:name w:val="index heading"/>
    <w:basedOn w:val="1"/>
    <w:next w:val="48"/>
    <w:qFormat/>
    <w:uiPriority w:val="0"/>
    <w:rPr>
      <w:rFonts w:eastAsia="隶书"/>
      <w:bCs w:val="0"/>
    </w:rPr>
  </w:style>
  <w:style w:type="paragraph" w:styleId="48">
    <w:name w:val="index 1"/>
    <w:basedOn w:val="1"/>
    <w:next w:val="1"/>
    <w:qFormat/>
    <w:uiPriority w:val="0"/>
    <w:pPr>
      <w:snapToGrid w:val="0"/>
    </w:pPr>
    <w:rPr>
      <w:bCs w:val="0"/>
      <w:snapToGrid w:val="0"/>
    </w:rPr>
  </w:style>
  <w:style w:type="paragraph" w:styleId="49">
    <w:name w:val="List Number 5"/>
    <w:basedOn w:val="1"/>
    <w:qFormat/>
    <w:uiPriority w:val="0"/>
    <w:pPr>
      <w:tabs>
        <w:tab w:val="left" w:pos="2040"/>
      </w:tabs>
      <w:ind w:left="2040" w:hanging="360"/>
    </w:pPr>
    <w:rPr>
      <w:bCs w:val="0"/>
      <w:szCs w:val="20"/>
    </w:rPr>
  </w:style>
  <w:style w:type="paragraph" w:styleId="50">
    <w:name w:val="List"/>
    <w:basedOn w:val="1"/>
    <w:unhideWhenUsed/>
    <w:qFormat/>
    <w:uiPriority w:val="0"/>
    <w:pPr>
      <w:ind w:left="200" w:hanging="200" w:hangingChars="200"/>
      <w:contextualSpacing/>
    </w:pPr>
  </w:style>
  <w:style w:type="paragraph" w:styleId="51">
    <w:name w:val="footnote text"/>
    <w:basedOn w:val="1"/>
    <w:link w:val="153"/>
    <w:qFormat/>
    <w:uiPriority w:val="0"/>
    <w:pPr>
      <w:snapToGrid w:val="0"/>
      <w:spacing w:line="240" w:lineRule="auto"/>
      <w:ind w:firstLine="0" w:firstLineChars="0"/>
      <w:jc w:val="left"/>
    </w:pPr>
    <w:rPr>
      <w:bCs w:val="0"/>
      <w:sz w:val="18"/>
      <w:szCs w:val="20"/>
    </w:rPr>
  </w:style>
  <w:style w:type="paragraph" w:styleId="52">
    <w:name w:val="toc 6"/>
    <w:basedOn w:val="1"/>
    <w:next w:val="1"/>
    <w:unhideWhenUsed/>
    <w:qFormat/>
    <w:uiPriority w:val="39"/>
    <w:pPr>
      <w:spacing w:line="240" w:lineRule="auto"/>
      <w:ind w:left="2100" w:leftChars="1000" w:firstLine="0" w:firstLineChars="0"/>
    </w:pPr>
    <w:rPr>
      <w:rFonts w:asciiTheme="minorHAnsi" w:hAnsiTheme="minorHAnsi" w:eastAsiaTheme="minorEastAsia" w:cstheme="minorBidi"/>
      <w:bCs w:val="0"/>
      <w:sz w:val="21"/>
      <w:szCs w:val="22"/>
    </w:rPr>
  </w:style>
  <w:style w:type="paragraph" w:styleId="53">
    <w:name w:val="List 5"/>
    <w:basedOn w:val="1"/>
    <w:qFormat/>
    <w:uiPriority w:val="0"/>
    <w:pPr>
      <w:ind w:left="2100" w:hanging="420"/>
    </w:pPr>
    <w:rPr>
      <w:bCs w:val="0"/>
      <w:szCs w:val="20"/>
    </w:rPr>
  </w:style>
  <w:style w:type="paragraph" w:styleId="54">
    <w:name w:val="Body Text Indent 3"/>
    <w:basedOn w:val="1"/>
    <w:link w:val="154"/>
    <w:qFormat/>
    <w:uiPriority w:val="0"/>
    <w:pPr>
      <w:spacing w:line="500" w:lineRule="exact"/>
      <w:ind w:firstLine="560" w:firstLineChars="0"/>
    </w:pPr>
    <w:rPr>
      <w:bCs w:val="0"/>
      <w:snapToGrid w:val="0"/>
      <w:color w:val="000000"/>
      <w:kern w:val="0"/>
    </w:rPr>
  </w:style>
  <w:style w:type="paragraph" w:styleId="55">
    <w:name w:val="toc 2"/>
    <w:basedOn w:val="1"/>
    <w:next w:val="1"/>
    <w:unhideWhenUsed/>
    <w:qFormat/>
    <w:uiPriority w:val="39"/>
    <w:pPr>
      <w:ind w:left="420" w:leftChars="200"/>
    </w:pPr>
  </w:style>
  <w:style w:type="paragraph" w:styleId="56">
    <w:name w:val="toc 9"/>
    <w:basedOn w:val="1"/>
    <w:next w:val="1"/>
    <w:unhideWhenUsed/>
    <w:qFormat/>
    <w:uiPriority w:val="39"/>
    <w:pPr>
      <w:spacing w:line="240" w:lineRule="auto"/>
      <w:ind w:left="3360" w:leftChars="1600" w:firstLine="0" w:firstLineChars="0"/>
    </w:pPr>
    <w:rPr>
      <w:rFonts w:asciiTheme="minorHAnsi" w:hAnsiTheme="minorHAnsi" w:eastAsiaTheme="minorEastAsia" w:cstheme="minorBidi"/>
      <w:bCs w:val="0"/>
      <w:sz w:val="21"/>
      <w:szCs w:val="22"/>
    </w:rPr>
  </w:style>
  <w:style w:type="paragraph" w:styleId="57">
    <w:name w:val="Body Text 2"/>
    <w:basedOn w:val="1"/>
    <w:link w:val="155"/>
    <w:qFormat/>
    <w:uiPriority w:val="0"/>
    <w:pPr>
      <w:snapToGrid w:val="0"/>
      <w:ind w:firstLine="0" w:firstLineChars="0"/>
    </w:pPr>
    <w:rPr>
      <w:rFonts w:ascii="楷体_GB2312" w:eastAsia="楷体_GB2312"/>
      <w:bCs w:val="0"/>
      <w:szCs w:val="20"/>
    </w:rPr>
  </w:style>
  <w:style w:type="paragraph" w:styleId="58">
    <w:name w:val="List 4"/>
    <w:basedOn w:val="1"/>
    <w:qFormat/>
    <w:uiPriority w:val="0"/>
    <w:pPr>
      <w:ind w:left="1680" w:hanging="420"/>
    </w:pPr>
    <w:rPr>
      <w:bCs w:val="0"/>
      <w:szCs w:val="20"/>
    </w:rPr>
  </w:style>
  <w:style w:type="paragraph" w:styleId="59">
    <w:name w:val="HTML Preformatted"/>
    <w:basedOn w:val="1"/>
    <w:link w:val="5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bCs w:val="0"/>
      <w:color w:val="000000"/>
      <w:kern w:val="0"/>
      <w:szCs w:val="21"/>
      <w:lang w:val="zh-CN"/>
    </w:rPr>
  </w:style>
  <w:style w:type="paragraph" w:styleId="60">
    <w:name w:val="Normal (Web)"/>
    <w:basedOn w:val="1"/>
    <w:qFormat/>
    <w:uiPriority w:val="99"/>
    <w:pPr>
      <w:widowControl/>
      <w:spacing w:before="100" w:beforeAutospacing="1" w:after="100" w:afterAutospacing="1" w:line="240" w:lineRule="auto"/>
      <w:ind w:firstLine="0" w:firstLineChars="0"/>
      <w:jc w:val="left"/>
    </w:pPr>
    <w:rPr>
      <w:rFonts w:ascii="宋体" w:hAnsi="宋体" w:cs="宋体"/>
      <w:bCs w:val="0"/>
      <w:kern w:val="0"/>
    </w:rPr>
  </w:style>
  <w:style w:type="paragraph" w:styleId="61">
    <w:name w:val="List Continue 3"/>
    <w:basedOn w:val="1"/>
    <w:qFormat/>
    <w:uiPriority w:val="0"/>
    <w:pPr>
      <w:spacing w:after="120"/>
      <w:ind w:left="1260"/>
    </w:pPr>
    <w:rPr>
      <w:bCs w:val="0"/>
      <w:szCs w:val="20"/>
    </w:rPr>
  </w:style>
  <w:style w:type="paragraph" w:styleId="62">
    <w:name w:val="Title"/>
    <w:basedOn w:val="1"/>
    <w:link w:val="597"/>
    <w:qFormat/>
    <w:uiPriority w:val="0"/>
    <w:pPr>
      <w:spacing w:before="240" w:after="60"/>
      <w:jc w:val="center"/>
      <w:outlineLvl w:val="0"/>
    </w:pPr>
    <w:rPr>
      <w:rFonts w:ascii="Arial" w:hAnsi="Arial"/>
      <w:b/>
      <w:sz w:val="32"/>
      <w:szCs w:val="32"/>
      <w:lang w:val="zh-CN"/>
    </w:rPr>
  </w:style>
  <w:style w:type="paragraph" w:styleId="63">
    <w:name w:val="annotation subject"/>
    <w:basedOn w:val="25"/>
    <w:next w:val="25"/>
    <w:link w:val="117"/>
    <w:unhideWhenUsed/>
    <w:qFormat/>
    <w:uiPriority w:val="0"/>
    <w:rPr>
      <w:b/>
      <w:bCs w:val="0"/>
    </w:rPr>
  </w:style>
  <w:style w:type="paragraph" w:styleId="64">
    <w:name w:val="Body Text First Indent 2"/>
    <w:basedOn w:val="28"/>
    <w:link w:val="140"/>
    <w:qFormat/>
    <w:uiPriority w:val="0"/>
    <w:pPr>
      <w:ind w:firstLine="420"/>
    </w:pPr>
    <w:rPr>
      <w:rFonts w:asciiTheme="minorHAnsi" w:hAnsiTheme="minorHAnsi" w:eastAsiaTheme="minorEastAsia" w:cstheme="minorBidi"/>
    </w:rPr>
  </w:style>
  <w:style w:type="table" w:styleId="66">
    <w:name w:val="Table Grid"/>
    <w:basedOn w:val="65"/>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7">
    <w:name w:val="Table Theme"/>
    <w:basedOn w:val="6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8">
    <w:name w:val="Table Colorful 3"/>
    <w:basedOn w:val="65"/>
    <w:qFormat/>
    <w:uiPriority w:val="0"/>
    <w:pPr>
      <w:widowControl w:val="0"/>
      <w:jc w:val="both"/>
    </w:pPr>
    <w:rPr>
      <w:rFonts w:ascii="Times New Roman" w:hAnsi="Times New Roman" w:eastAsia="宋体" w:cs="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69">
    <w:name w:val="Table Elegant"/>
    <w:basedOn w:val="65"/>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70">
    <w:name w:val="Table Grid 1"/>
    <w:basedOn w:val="65"/>
    <w:qFormat/>
    <w:uiPriority w:val="0"/>
    <w:pPr>
      <w:widowControl w:val="0"/>
      <w:jc w:val="both"/>
    </w:pPr>
    <w:rPr>
      <w:rFonts w:ascii="Times New Roman" w:hAnsi="Times New Roman" w:eastAsia="宋体" w:cs="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71">
    <w:name w:val="Table Grid 5"/>
    <w:basedOn w:val="65"/>
    <w:qFormat/>
    <w:uiPriority w:val="0"/>
    <w:pPr>
      <w:widowControl w:val="0"/>
      <w:jc w:val="both"/>
    </w:pPr>
    <w:rPr>
      <w:rFonts w:ascii="Times New Roman" w:hAnsi="Times New Roman" w:eastAsia="宋体" w:cs="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character" w:styleId="73">
    <w:name w:val="Strong"/>
    <w:qFormat/>
    <w:uiPriority w:val="22"/>
    <w:rPr>
      <w:b/>
      <w:bCs/>
    </w:rPr>
  </w:style>
  <w:style w:type="character" w:styleId="74">
    <w:name w:val="page number"/>
    <w:basedOn w:val="72"/>
    <w:qFormat/>
    <w:uiPriority w:val="0"/>
  </w:style>
  <w:style w:type="character" w:styleId="75">
    <w:name w:val="FollowedHyperlink"/>
    <w:qFormat/>
    <w:uiPriority w:val="99"/>
    <w:rPr>
      <w:color w:val="800080"/>
      <w:u w:val="single"/>
    </w:rPr>
  </w:style>
  <w:style w:type="character" w:styleId="76">
    <w:name w:val="Emphasis"/>
    <w:qFormat/>
    <w:uiPriority w:val="0"/>
    <w:rPr>
      <w:color w:val="CC0033"/>
    </w:rPr>
  </w:style>
  <w:style w:type="character" w:styleId="77">
    <w:name w:val="Hyperlink"/>
    <w:basedOn w:val="72"/>
    <w:unhideWhenUsed/>
    <w:qFormat/>
    <w:uiPriority w:val="99"/>
    <w:rPr>
      <w:color w:val="0000FF" w:themeColor="hyperlink"/>
      <w:u w:val="single"/>
      <w14:textFill>
        <w14:solidFill>
          <w14:schemeClr w14:val="hlink"/>
        </w14:solidFill>
      </w14:textFill>
    </w:rPr>
  </w:style>
  <w:style w:type="character" w:styleId="78">
    <w:name w:val="annotation reference"/>
    <w:basedOn w:val="72"/>
    <w:unhideWhenUsed/>
    <w:qFormat/>
    <w:uiPriority w:val="0"/>
    <w:rPr>
      <w:sz w:val="21"/>
      <w:szCs w:val="21"/>
    </w:rPr>
  </w:style>
  <w:style w:type="character" w:styleId="79">
    <w:name w:val="HTML Cite"/>
    <w:unhideWhenUsed/>
    <w:qFormat/>
    <w:uiPriority w:val="0"/>
  </w:style>
  <w:style w:type="character" w:customStyle="1" w:styleId="80">
    <w:name w:val="标题 1 字符"/>
    <w:basedOn w:val="72"/>
    <w:link w:val="2"/>
    <w:qFormat/>
    <w:uiPriority w:val="0"/>
    <w:rPr>
      <w:rFonts w:ascii="Times New Roman" w:hAnsi="Times New Roman" w:eastAsia="宋体" w:cs="Times New Roman"/>
      <w:b/>
      <w:kern w:val="44"/>
      <w:sz w:val="32"/>
      <w:szCs w:val="44"/>
    </w:rPr>
  </w:style>
  <w:style w:type="character" w:customStyle="1" w:styleId="81">
    <w:name w:val="标题 2 字符"/>
    <w:basedOn w:val="72"/>
    <w:link w:val="3"/>
    <w:qFormat/>
    <w:uiPriority w:val="0"/>
    <w:rPr>
      <w:rFonts w:ascii="Times New Roman" w:hAnsi="Times New Roman" w:eastAsiaTheme="majorEastAsia" w:cstheme="majorBidi"/>
      <w:b/>
      <w:bCs/>
      <w:sz w:val="28"/>
      <w:szCs w:val="32"/>
    </w:rPr>
  </w:style>
  <w:style w:type="character" w:customStyle="1" w:styleId="82">
    <w:name w:val="标题 3 字符"/>
    <w:basedOn w:val="72"/>
    <w:link w:val="4"/>
    <w:qFormat/>
    <w:uiPriority w:val="0"/>
    <w:rPr>
      <w:rFonts w:ascii="Times New Roman" w:hAnsi="Times New Roman" w:eastAsia="宋体" w:cs="Times New Roman"/>
      <w:b/>
      <w:sz w:val="28"/>
      <w:szCs w:val="32"/>
    </w:rPr>
  </w:style>
  <w:style w:type="character" w:customStyle="1" w:styleId="83">
    <w:name w:val="标题 4 字符"/>
    <w:basedOn w:val="72"/>
    <w:link w:val="5"/>
    <w:qFormat/>
    <w:uiPriority w:val="0"/>
    <w:rPr>
      <w:rFonts w:ascii="Times New Roman" w:hAnsi="Times New Roman" w:eastAsiaTheme="majorEastAsia" w:cstheme="majorBidi"/>
      <w:b/>
      <w:bCs/>
      <w:sz w:val="28"/>
      <w:szCs w:val="28"/>
    </w:rPr>
  </w:style>
  <w:style w:type="character" w:customStyle="1" w:styleId="84">
    <w:name w:val="标题 5 字符"/>
    <w:basedOn w:val="72"/>
    <w:link w:val="6"/>
    <w:qFormat/>
    <w:uiPriority w:val="0"/>
    <w:rPr>
      <w:rFonts w:ascii="Times New Roman" w:hAnsi="Times New Roman" w:eastAsia="宋体" w:cs="Times New Roman"/>
      <w:b/>
      <w:sz w:val="28"/>
      <w:szCs w:val="28"/>
    </w:rPr>
  </w:style>
  <w:style w:type="character" w:customStyle="1" w:styleId="85">
    <w:name w:val="纯文本 字符"/>
    <w:basedOn w:val="72"/>
    <w:link w:val="35"/>
    <w:qFormat/>
    <w:uiPriority w:val="0"/>
    <w:rPr>
      <w:rFonts w:ascii="宋体" w:hAnsi="Courier New" w:eastAsia="宋体" w:cs="Times New Roman"/>
      <w:szCs w:val="20"/>
    </w:rPr>
  </w:style>
  <w:style w:type="character" w:customStyle="1" w:styleId="86">
    <w:name w:val="纯文本 Char"/>
    <w:basedOn w:val="72"/>
    <w:qFormat/>
    <w:uiPriority w:val="99"/>
    <w:rPr>
      <w:rFonts w:ascii="宋体" w:hAnsi="Courier New" w:eastAsia="宋体" w:cs="Courier New"/>
      <w:szCs w:val="21"/>
    </w:rPr>
  </w:style>
  <w:style w:type="character" w:customStyle="1" w:styleId="87">
    <w:name w:val="文档结构图 字符"/>
    <w:basedOn w:val="72"/>
    <w:link w:val="21"/>
    <w:semiHidden/>
    <w:qFormat/>
    <w:uiPriority w:val="99"/>
    <w:rPr>
      <w:rFonts w:ascii="宋体" w:eastAsia="宋体"/>
      <w:sz w:val="18"/>
      <w:szCs w:val="18"/>
    </w:rPr>
  </w:style>
  <w:style w:type="character" w:customStyle="1" w:styleId="88">
    <w:name w:val="页脚 字符"/>
    <w:basedOn w:val="72"/>
    <w:link w:val="42"/>
    <w:qFormat/>
    <w:uiPriority w:val="99"/>
    <w:rPr>
      <w:rFonts w:ascii="Times New Roman" w:hAnsi="Times New Roman" w:eastAsia="宋体" w:cs="Times New Roman"/>
      <w:sz w:val="18"/>
      <w:szCs w:val="18"/>
    </w:rPr>
  </w:style>
  <w:style w:type="character" w:customStyle="1" w:styleId="89">
    <w:name w:val="正文文本缩进 字符"/>
    <w:basedOn w:val="72"/>
    <w:link w:val="28"/>
    <w:qFormat/>
    <w:uiPriority w:val="99"/>
    <w:rPr>
      <w:rFonts w:ascii="Times New Roman" w:hAnsi="Times New Roman" w:eastAsia="宋体" w:cs="Times New Roman"/>
      <w:szCs w:val="24"/>
    </w:rPr>
  </w:style>
  <w:style w:type="paragraph" w:styleId="90">
    <w:name w:val="No Spacing"/>
    <w:link w:val="345"/>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1">
    <w:name w:val="批注框文本 字符"/>
    <w:basedOn w:val="72"/>
    <w:link w:val="41"/>
    <w:semiHidden/>
    <w:qFormat/>
    <w:uiPriority w:val="99"/>
    <w:rPr>
      <w:sz w:val="18"/>
      <w:szCs w:val="18"/>
    </w:rPr>
  </w:style>
  <w:style w:type="paragraph" w:customStyle="1" w:styleId="92">
    <w:name w:val="表头，alt+D"/>
    <w:basedOn w:val="1"/>
    <w:qFormat/>
    <w:uiPriority w:val="0"/>
    <w:pPr>
      <w:jc w:val="center"/>
      <w:textAlignment w:val="center"/>
    </w:pPr>
    <w:rPr>
      <w:rFonts w:ascii="宋体"/>
      <w:b/>
      <w:szCs w:val="21"/>
    </w:rPr>
  </w:style>
  <w:style w:type="paragraph" w:customStyle="1" w:styleId="93">
    <w:name w:val="表体"/>
    <w:link w:val="94"/>
    <w:qFormat/>
    <w:uiPriority w:val="0"/>
    <w:pPr>
      <w:jc w:val="center"/>
    </w:pPr>
    <w:rPr>
      <w:rFonts w:ascii="宋体" w:hAnsi="Times New Roman" w:eastAsia="宋体" w:cs="Times New Roman"/>
      <w:color w:val="000080"/>
      <w:kern w:val="2"/>
      <w:sz w:val="21"/>
      <w:szCs w:val="24"/>
      <w:lang w:val="en-US" w:eastAsia="zh-CN" w:bidi="ar-SA"/>
    </w:rPr>
  </w:style>
  <w:style w:type="character" w:customStyle="1" w:styleId="94">
    <w:name w:val="表体 Char"/>
    <w:link w:val="93"/>
    <w:qFormat/>
    <w:uiPriority w:val="0"/>
    <w:rPr>
      <w:rFonts w:ascii="宋体" w:hAnsi="Times New Roman" w:eastAsia="宋体" w:cs="Times New Roman"/>
      <w:color w:val="000080"/>
      <w:szCs w:val="24"/>
    </w:rPr>
  </w:style>
  <w:style w:type="paragraph" w:customStyle="1" w:styleId="95">
    <w:name w:val="样式5"/>
    <w:basedOn w:val="1"/>
    <w:link w:val="96"/>
    <w:qFormat/>
    <w:uiPriority w:val="0"/>
    <w:pPr>
      <w:snapToGrid w:val="0"/>
      <w:ind w:firstLine="560"/>
      <w:jc w:val="center"/>
      <w:outlineLvl w:val="0"/>
    </w:pPr>
  </w:style>
  <w:style w:type="character" w:customStyle="1" w:styleId="96">
    <w:name w:val="样式5 Char"/>
    <w:link w:val="95"/>
    <w:qFormat/>
    <w:uiPriority w:val="0"/>
    <w:rPr>
      <w:rFonts w:ascii="Times New Roman" w:hAnsi="Times New Roman" w:eastAsia="宋体" w:cs="Times New Roman"/>
      <w:bCs/>
      <w:kern w:val="2"/>
      <w:sz w:val="28"/>
      <w:szCs w:val="24"/>
    </w:rPr>
  </w:style>
  <w:style w:type="paragraph" w:styleId="97">
    <w:name w:val="List Paragraph"/>
    <w:basedOn w:val="1"/>
    <w:qFormat/>
    <w:uiPriority w:val="0"/>
    <w:pPr>
      <w:ind w:firstLine="420"/>
    </w:pPr>
    <w:rPr>
      <w:rFonts w:ascii="Calibri" w:hAnsi="Calibri"/>
    </w:rPr>
  </w:style>
  <w:style w:type="character" w:customStyle="1" w:styleId="98">
    <w:name w:val="日期 字符"/>
    <w:basedOn w:val="72"/>
    <w:link w:val="39"/>
    <w:semiHidden/>
    <w:qFormat/>
    <w:uiPriority w:val="99"/>
  </w:style>
  <w:style w:type="character" w:customStyle="1" w:styleId="99">
    <w:name w:val="正文文本 字符"/>
    <w:basedOn w:val="72"/>
    <w:link w:val="24"/>
    <w:qFormat/>
    <w:uiPriority w:val="0"/>
  </w:style>
  <w:style w:type="paragraph" w:customStyle="1" w:styleId="100">
    <w:name w:val="Table Paragraph"/>
    <w:basedOn w:val="1"/>
    <w:qFormat/>
    <w:uiPriority w:val="1"/>
    <w:pPr>
      <w:autoSpaceDE w:val="0"/>
      <w:autoSpaceDN w:val="0"/>
      <w:adjustRightInd w:val="0"/>
      <w:jc w:val="left"/>
    </w:pPr>
    <w:rPr>
      <w:kern w:val="0"/>
    </w:rPr>
  </w:style>
  <w:style w:type="paragraph" w:customStyle="1" w:styleId="101">
    <w:name w:val="样式 小四 首行缩进:  0.85 厘米 行距: 1.5 倍行距1"/>
    <w:basedOn w:val="1"/>
    <w:link w:val="102"/>
    <w:qFormat/>
    <w:uiPriority w:val="0"/>
    <w:rPr>
      <w:rFonts w:cs="宋体"/>
      <w:szCs w:val="20"/>
    </w:rPr>
  </w:style>
  <w:style w:type="character" w:customStyle="1" w:styleId="102">
    <w:name w:val="样式 小四 首行缩进:  0.85 厘米 行距: 1.5 倍行距1 Char"/>
    <w:link w:val="101"/>
    <w:qFormat/>
    <w:uiPriority w:val="0"/>
    <w:rPr>
      <w:rFonts w:ascii="Times New Roman" w:hAnsi="Times New Roman" w:eastAsia="宋体" w:cs="宋体"/>
      <w:sz w:val="24"/>
      <w:szCs w:val="20"/>
    </w:rPr>
  </w:style>
  <w:style w:type="paragraph" w:customStyle="1" w:styleId="103">
    <w:name w:val="正文内容"/>
    <w:basedOn w:val="1"/>
    <w:link w:val="104"/>
    <w:qFormat/>
    <w:uiPriority w:val="0"/>
    <w:pPr>
      <w:snapToGrid w:val="0"/>
      <w:ind w:firstLine="482"/>
    </w:pPr>
  </w:style>
  <w:style w:type="character" w:customStyle="1" w:styleId="104">
    <w:name w:val="正文内容 Char1"/>
    <w:link w:val="103"/>
    <w:qFormat/>
    <w:uiPriority w:val="0"/>
    <w:rPr>
      <w:rFonts w:ascii="Times New Roman" w:hAnsi="Times New Roman" w:eastAsia="宋体" w:cs="Times New Roman"/>
      <w:sz w:val="24"/>
      <w:szCs w:val="24"/>
    </w:rPr>
  </w:style>
  <w:style w:type="paragraph" w:customStyle="1" w:styleId="105">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rPr>
  </w:style>
  <w:style w:type="paragraph" w:customStyle="1" w:styleId="106">
    <w:name w:val="xl24"/>
    <w:basedOn w:val="1"/>
    <w:qFormat/>
    <w:uiPriority w:val="0"/>
    <w:pPr>
      <w:widowControl/>
      <w:pBdr>
        <w:bottom w:val="single" w:color="000000" w:sz="4" w:space="0"/>
        <w:right w:val="single" w:color="000000" w:sz="4" w:space="0"/>
      </w:pBdr>
      <w:spacing w:before="100" w:beforeAutospacing="1" w:after="100" w:afterAutospacing="1"/>
      <w:jc w:val="center"/>
      <w:textAlignment w:val="top"/>
    </w:pPr>
    <w:rPr>
      <w:kern w:val="0"/>
      <w:szCs w:val="21"/>
    </w:rPr>
  </w:style>
  <w:style w:type="paragraph" w:customStyle="1" w:styleId="107">
    <w:name w:val="表格 New"/>
    <w:basedOn w:val="1"/>
    <w:qFormat/>
    <w:uiPriority w:val="0"/>
    <w:pPr>
      <w:spacing w:line="300" w:lineRule="exact"/>
      <w:jc w:val="center"/>
    </w:pPr>
  </w:style>
  <w:style w:type="paragraph" w:customStyle="1" w:styleId="108">
    <w:name w:val="我正"/>
    <w:basedOn w:val="1"/>
    <w:link w:val="109"/>
    <w:qFormat/>
    <w:uiPriority w:val="0"/>
  </w:style>
  <w:style w:type="character" w:customStyle="1" w:styleId="109">
    <w:name w:val="我正 Char"/>
    <w:link w:val="108"/>
    <w:qFormat/>
    <w:uiPriority w:val="0"/>
    <w:rPr>
      <w:rFonts w:ascii="Times New Roman" w:hAnsi="Times New Roman" w:eastAsia="宋体" w:cs="Times New Roman"/>
      <w:sz w:val="24"/>
      <w:szCs w:val="24"/>
    </w:rPr>
  </w:style>
  <w:style w:type="character" w:customStyle="1" w:styleId="110">
    <w:name w:val="页眉 字符"/>
    <w:basedOn w:val="72"/>
    <w:link w:val="43"/>
    <w:qFormat/>
    <w:uiPriority w:val="99"/>
    <w:rPr>
      <w:sz w:val="18"/>
      <w:szCs w:val="18"/>
    </w:rPr>
  </w:style>
  <w:style w:type="paragraph" w:customStyle="1" w:styleId="111">
    <w:name w:val="正文2"/>
    <w:qFormat/>
    <w:uiPriority w:val="0"/>
    <w:pPr>
      <w:widowControl w:val="0"/>
      <w:adjustRightInd w:val="0"/>
      <w:spacing w:line="360" w:lineRule="atLeast"/>
      <w:textAlignment w:val="baseline"/>
    </w:pPr>
    <w:rPr>
      <w:rFonts w:ascii="宋体" w:hAnsi="Times New Roman" w:eastAsia="宋体" w:cs="Times New Roman"/>
      <w:sz w:val="24"/>
      <w:lang w:val="en-US" w:eastAsia="zh-CN" w:bidi="ar-SA"/>
    </w:rPr>
  </w:style>
  <w:style w:type="character" w:customStyle="1" w:styleId="112">
    <w:name w:val="样式6 + 段前: 0.5 行 段后: 0.5 行 Char"/>
    <w:link w:val="113"/>
    <w:qFormat/>
    <w:locked/>
    <w:uiPriority w:val="0"/>
    <w:rPr>
      <w:sz w:val="24"/>
    </w:rPr>
  </w:style>
  <w:style w:type="paragraph" w:customStyle="1" w:styleId="113">
    <w:name w:val="样式6 + 段前: 0.5 行 段后: 0.5 行"/>
    <w:basedOn w:val="1"/>
    <w:link w:val="112"/>
    <w:qFormat/>
    <w:uiPriority w:val="0"/>
    <w:pPr>
      <w:tabs>
        <w:tab w:val="left" w:pos="1230"/>
      </w:tabs>
      <w:adjustRightInd w:val="0"/>
      <w:snapToGrid w:val="0"/>
      <w:spacing w:beforeLines="50" w:afterLines="50"/>
      <w:ind w:left="2460" w:hanging="720"/>
      <w:jc w:val="left"/>
      <w:outlineLvl w:val="2"/>
    </w:pPr>
  </w:style>
  <w:style w:type="paragraph" w:customStyle="1" w:styleId="11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5">
    <w:name w:val="样式5 Char2"/>
    <w:qFormat/>
    <w:uiPriority w:val="0"/>
    <w:rPr>
      <w:rFonts w:eastAsia="宋体"/>
      <w:kern w:val="2"/>
      <w:sz w:val="24"/>
      <w:szCs w:val="24"/>
      <w:lang w:val="en-US" w:eastAsia="zh-CN" w:bidi="ar-SA"/>
    </w:rPr>
  </w:style>
  <w:style w:type="character" w:customStyle="1" w:styleId="116">
    <w:name w:val="批注文字 字符"/>
    <w:basedOn w:val="72"/>
    <w:link w:val="25"/>
    <w:semiHidden/>
    <w:qFormat/>
    <w:uiPriority w:val="99"/>
  </w:style>
  <w:style w:type="character" w:customStyle="1" w:styleId="117">
    <w:name w:val="批注主题 字符"/>
    <w:basedOn w:val="116"/>
    <w:link w:val="63"/>
    <w:semiHidden/>
    <w:qFormat/>
    <w:uiPriority w:val="99"/>
    <w:rPr>
      <w:b/>
      <w:bCs/>
    </w:rPr>
  </w:style>
  <w:style w:type="paragraph" w:customStyle="1" w:styleId="118">
    <w:name w:val="修订1"/>
    <w:hidden/>
    <w:qFormat/>
    <w:uiPriority w:val="99"/>
    <w:rPr>
      <w:rFonts w:asciiTheme="minorHAnsi" w:hAnsiTheme="minorHAnsi" w:eastAsiaTheme="minorEastAsia" w:cstheme="minorBidi"/>
      <w:kern w:val="2"/>
      <w:sz w:val="21"/>
      <w:szCs w:val="22"/>
      <w:lang w:val="en-US" w:eastAsia="zh-CN" w:bidi="ar-SA"/>
    </w:rPr>
  </w:style>
  <w:style w:type="paragraph" w:customStyle="1" w:styleId="119">
    <w:name w:val="Char Char6"/>
    <w:basedOn w:val="1"/>
    <w:next w:val="1"/>
    <w:qFormat/>
    <w:uiPriority w:val="0"/>
    <w:rPr>
      <w:szCs w:val="20"/>
    </w:rPr>
  </w:style>
  <w:style w:type="character" w:customStyle="1" w:styleId="120">
    <w:name w:val="fontstyle01"/>
    <w:basedOn w:val="72"/>
    <w:qFormat/>
    <w:uiPriority w:val="0"/>
    <w:rPr>
      <w:rFonts w:hint="default" w:ascii="仿宋_GB2312" w:hAnsi="仿宋_GB2312"/>
      <w:color w:val="000000"/>
      <w:sz w:val="28"/>
      <w:szCs w:val="28"/>
    </w:rPr>
  </w:style>
  <w:style w:type="character" w:customStyle="1" w:styleId="121">
    <w:name w:val="fontstyle21"/>
    <w:basedOn w:val="72"/>
    <w:qFormat/>
    <w:uiPriority w:val="0"/>
    <w:rPr>
      <w:rFonts w:hint="default" w:ascii="TimesNewRomanPSMT" w:hAnsi="TimesNewRomanPSMT"/>
      <w:color w:val="000000"/>
      <w:sz w:val="28"/>
      <w:szCs w:val="28"/>
    </w:rPr>
  </w:style>
  <w:style w:type="character" w:customStyle="1" w:styleId="122">
    <w:name w:val="样式5 Char1"/>
    <w:qFormat/>
    <w:uiPriority w:val="0"/>
    <w:rPr>
      <w:rFonts w:eastAsia="宋体"/>
      <w:kern w:val="2"/>
      <w:sz w:val="24"/>
      <w:szCs w:val="24"/>
      <w:lang w:val="en-US" w:eastAsia="zh-CN" w:bidi="ar-SA"/>
    </w:rPr>
  </w:style>
  <w:style w:type="paragraph" w:customStyle="1" w:styleId="123">
    <w:name w:val="我的标题3"/>
    <w:basedOn w:val="1"/>
    <w:qFormat/>
    <w:uiPriority w:val="0"/>
    <w:rPr>
      <w:b/>
      <w:szCs w:val="20"/>
    </w:rPr>
  </w:style>
  <w:style w:type="paragraph" w:customStyle="1" w:styleId="124">
    <w:name w:val="表格式"/>
    <w:basedOn w:val="50"/>
    <w:qFormat/>
    <w:uiPriority w:val="0"/>
    <w:pPr>
      <w:spacing w:line="340" w:lineRule="exact"/>
      <w:ind w:left="0" w:firstLine="0" w:firstLineChars="0"/>
      <w:contextualSpacing w:val="0"/>
      <w:jc w:val="center"/>
    </w:pPr>
    <w:rPr>
      <w:rFonts w:ascii="宋体" w:hAnsi="宋体"/>
    </w:rPr>
  </w:style>
  <w:style w:type="character" w:customStyle="1" w:styleId="125">
    <w:name w:val="标题 2 Char"/>
    <w:qFormat/>
    <w:uiPriority w:val="0"/>
    <w:rPr>
      <w:rFonts w:ascii="Arial" w:hAnsi="Arial" w:eastAsia="黑体"/>
      <w:b/>
      <w:bCs/>
      <w:kern w:val="2"/>
      <w:sz w:val="32"/>
      <w:szCs w:val="32"/>
      <w:lang w:val="en-US" w:eastAsia="zh-CN" w:bidi="ar-SA"/>
    </w:rPr>
  </w:style>
  <w:style w:type="paragraph" w:customStyle="1" w:styleId="126">
    <w:name w:val="我的标题2"/>
    <w:basedOn w:val="1"/>
    <w:qFormat/>
    <w:uiPriority w:val="0"/>
    <w:pPr>
      <w:outlineLvl w:val="1"/>
    </w:pPr>
    <w:rPr>
      <w:rFonts w:ascii="宋体" w:hAnsi="宋体"/>
      <w:b/>
      <w:color w:val="000000"/>
      <w:sz w:val="30"/>
    </w:rPr>
  </w:style>
  <w:style w:type="character" w:customStyle="1" w:styleId="127">
    <w:name w:val="样式5 Char Char"/>
    <w:qFormat/>
    <w:uiPriority w:val="0"/>
    <w:rPr>
      <w:kern w:val="2"/>
      <w:sz w:val="24"/>
      <w:szCs w:val="24"/>
    </w:rPr>
  </w:style>
  <w:style w:type="paragraph" w:customStyle="1" w:styleId="128">
    <w:name w:val="2级标题"/>
    <w:basedOn w:val="1"/>
    <w:qFormat/>
    <w:uiPriority w:val="0"/>
    <w:pPr>
      <w:numPr>
        <w:ilvl w:val="1"/>
        <w:numId w:val="2"/>
      </w:numPr>
      <w:tabs>
        <w:tab w:val="left" w:pos="576"/>
        <w:tab w:val="left" w:pos="987"/>
      </w:tabs>
      <w:adjustRightInd w:val="0"/>
      <w:snapToGrid w:val="0"/>
      <w:spacing w:before="50" w:beforeLines="50" w:after="50" w:afterLines="50"/>
      <w:jc w:val="left"/>
      <w:outlineLvl w:val="1"/>
    </w:pPr>
    <w:rPr>
      <w:rFonts w:ascii="Calibri" w:hAnsi="Calibri" w:eastAsia="黑体"/>
      <w:b/>
    </w:rPr>
  </w:style>
  <w:style w:type="paragraph" w:customStyle="1" w:styleId="129">
    <w:name w:val="Char Char62"/>
    <w:basedOn w:val="1"/>
    <w:next w:val="1"/>
    <w:qFormat/>
    <w:uiPriority w:val="0"/>
    <w:rPr>
      <w:szCs w:val="20"/>
    </w:rPr>
  </w:style>
  <w:style w:type="paragraph" w:customStyle="1" w:styleId="130">
    <w:name w:val="样式1"/>
    <w:basedOn w:val="1"/>
    <w:link w:val="601"/>
    <w:qFormat/>
    <w:uiPriority w:val="0"/>
    <w:pPr>
      <w:numPr>
        <w:ilvl w:val="0"/>
        <w:numId w:val="3"/>
      </w:numPr>
      <w:adjustRightInd w:val="0"/>
      <w:snapToGrid w:val="0"/>
      <w:spacing w:after="100" w:afterAutospacing="1"/>
      <w:jc w:val="left"/>
      <w:outlineLvl w:val="0"/>
    </w:pPr>
    <w:rPr>
      <w:rFonts w:ascii="黑体" w:eastAsia="黑体"/>
      <w:b/>
      <w:sz w:val="30"/>
    </w:rPr>
  </w:style>
  <w:style w:type="paragraph" w:customStyle="1" w:styleId="131">
    <w:name w:val="样式4"/>
    <w:basedOn w:val="1"/>
    <w:link w:val="598"/>
    <w:qFormat/>
    <w:uiPriority w:val="0"/>
    <w:pPr>
      <w:numPr>
        <w:ilvl w:val="1"/>
        <w:numId w:val="3"/>
      </w:numPr>
      <w:tabs>
        <w:tab w:val="left" w:pos="858"/>
        <w:tab w:val="left" w:pos="987"/>
      </w:tabs>
      <w:adjustRightInd w:val="0"/>
      <w:snapToGrid w:val="0"/>
      <w:jc w:val="left"/>
      <w:outlineLvl w:val="1"/>
    </w:pPr>
    <w:rPr>
      <w:b/>
      <w:color w:val="000000"/>
    </w:rPr>
  </w:style>
  <w:style w:type="paragraph" w:customStyle="1" w:styleId="132">
    <w:name w:val="样式6"/>
    <w:basedOn w:val="131"/>
    <w:link w:val="133"/>
    <w:qFormat/>
    <w:uiPriority w:val="0"/>
    <w:pPr>
      <w:numPr>
        <w:ilvl w:val="0"/>
        <w:numId w:val="0"/>
      </w:numPr>
      <w:tabs>
        <w:tab w:val="left" w:pos="1713"/>
        <w:tab w:val="left" w:pos="1997"/>
        <w:tab w:val="clear" w:pos="987"/>
      </w:tabs>
      <w:ind w:left="1997" w:hanging="720" w:firstLineChars="200"/>
      <w:outlineLvl w:val="2"/>
    </w:pPr>
    <w:rPr>
      <w:b w:val="0"/>
    </w:rPr>
  </w:style>
  <w:style w:type="character" w:customStyle="1" w:styleId="133">
    <w:name w:val="样式6 Char1"/>
    <w:link w:val="132"/>
    <w:qFormat/>
    <w:uiPriority w:val="0"/>
    <w:rPr>
      <w:rFonts w:ascii="Times New Roman" w:hAnsi="Times New Roman" w:eastAsia="宋体" w:cs="Times New Roman"/>
      <w:bCs/>
      <w:color w:val="000000"/>
      <w:sz w:val="24"/>
      <w:szCs w:val="24"/>
    </w:rPr>
  </w:style>
  <w:style w:type="paragraph" w:customStyle="1" w:styleId="134">
    <w:name w:val="样式7"/>
    <w:basedOn w:val="95"/>
    <w:link w:val="135"/>
    <w:qFormat/>
    <w:uiPriority w:val="0"/>
    <w:pPr>
      <w:tabs>
        <w:tab w:val="left" w:pos="1516"/>
      </w:tabs>
      <w:ind w:left="1516" w:hanging="864"/>
      <w:outlineLvl w:val="3"/>
    </w:pPr>
  </w:style>
  <w:style w:type="character" w:customStyle="1" w:styleId="135">
    <w:name w:val="样式7 Char1"/>
    <w:link w:val="134"/>
    <w:qFormat/>
    <w:uiPriority w:val="0"/>
    <w:rPr>
      <w:rFonts w:ascii="Times New Roman" w:hAnsi="Times New Roman" w:eastAsia="宋体" w:cs="Times New Roman"/>
      <w:bCs/>
      <w:sz w:val="24"/>
      <w:szCs w:val="24"/>
    </w:rPr>
  </w:style>
  <w:style w:type="paragraph" w:customStyle="1" w:styleId="136">
    <w:name w:val="图名"/>
    <w:qFormat/>
    <w:uiPriority w:val="0"/>
    <w:pPr>
      <w:numPr>
        <w:ilvl w:val="4"/>
        <w:numId w:val="3"/>
      </w:numPr>
      <w:spacing w:line="360" w:lineRule="auto"/>
      <w:jc w:val="center"/>
    </w:pPr>
    <w:rPr>
      <w:rFonts w:ascii="Times New Roman" w:hAnsi="Times New Roman" w:eastAsia="黑体" w:cs="Times New Roman"/>
      <w:kern w:val="2"/>
      <w:sz w:val="24"/>
      <w:szCs w:val="24"/>
      <w:lang w:val="en-US" w:eastAsia="zh-CN" w:bidi="ar-SA"/>
    </w:rPr>
  </w:style>
  <w:style w:type="paragraph" w:customStyle="1" w:styleId="137">
    <w:name w:val="样式 2级标题 + (中文) 宋体 黑色 左侧:  0 厘米 首行缩进:  0 厘米 段前: 0.5 行 段后: 0...."/>
    <w:basedOn w:val="4"/>
    <w:next w:val="1"/>
    <w:qFormat/>
    <w:uiPriority w:val="0"/>
    <w:pPr>
      <w:spacing w:before="120" w:after="120"/>
    </w:pPr>
    <w:rPr>
      <w:rFonts w:cs="宋体"/>
      <w:bCs/>
      <w:color w:val="000000"/>
      <w:szCs w:val="20"/>
    </w:rPr>
  </w:style>
  <w:style w:type="character" w:customStyle="1" w:styleId="138">
    <w:name w:val="fontstyle31"/>
    <w:basedOn w:val="72"/>
    <w:qFormat/>
    <w:uiPriority w:val="0"/>
    <w:rPr>
      <w:rFonts w:hint="default" w:ascii="TimesNewRomanPSMT" w:hAnsi="TimesNewRomanPSMT"/>
      <w:color w:val="000000"/>
      <w:sz w:val="28"/>
      <w:szCs w:val="28"/>
    </w:rPr>
  </w:style>
  <w:style w:type="character" w:customStyle="1" w:styleId="139">
    <w:name w:val="fontstyle11"/>
    <w:basedOn w:val="72"/>
    <w:qFormat/>
    <w:uiPriority w:val="0"/>
    <w:rPr>
      <w:rFonts w:hint="default" w:ascii="TimesNewRomanPSMT" w:hAnsi="TimesNewRomanPSMT"/>
      <w:color w:val="000000"/>
      <w:sz w:val="28"/>
      <w:szCs w:val="28"/>
    </w:rPr>
  </w:style>
  <w:style w:type="character" w:customStyle="1" w:styleId="140">
    <w:name w:val="正文首行缩进 2 字符"/>
    <w:link w:val="64"/>
    <w:qFormat/>
    <w:uiPriority w:val="0"/>
    <w:rPr>
      <w:szCs w:val="24"/>
    </w:rPr>
  </w:style>
  <w:style w:type="character" w:customStyle="1" w:styleId="141">
    <w:name w:val="正文首行缩进 2 Char1"/>
    <w:basedOn w:val="89"/>
    <w:semiHidden/>
    <w:qFormat/>
    <w:uiPriority w:val="99"/>
    <w:rPr>
      <w:rFonts w:ascii="Times New Roman" w:hAnsi="Times New Roman" w:eastAsia="宋体" w:cs="Times New Roman"/>
      <w:szCs w:val="24"/>
    </w:rPr>
  </w:style>
  <w:style w:type="paragraph" w:customStyle="1" w:styleId="142">
    <w:name w:val="样式 样式 样式5 + 黑色 + 首行缩进:  2 字符"/>
    <w:basedOn w:val="1"/>
    <w:qFormat/>
    <w:uiPriority w:val="0"/>
    <w:pPr>
      <w:ind w:firstLine="420"/>
    </w:pPr>
  </w:style>
  <w:style w:type="paragraph" w:customStyle="1" w:styleId="143">
    <w:name w:val="font14"/>
    <w:basedOn w:val="1"/>
    <w:qFormat/>
    <w:uiPriority w:val="0"/>
    <w:pPr>
      <w:widowControl/>
      <w:spacing w:before="100" w:beforeAutospacing="1" w:after="100" w:afterAutospacing="1"/>
      <w:jc w:val="left"/>
    </w:pPr>
    <w:rPr>
      <w:rFonts w:eastAsia="Arial Unicode MS"/>
      <w:kern w:val="0"/>
    </w:rPr>
  </w:style>
  <w:style w:type="character" w:customStyle="1" w:styleId="144">
    <w:name w:val="样式6 Char Char"/>
    <w:qFormat/>
    <w:locked/>
    <w:uiPriority w:val="0"/>
    <w:rPr>
      <w:kern w:val="2"/>
      <w:sz w:val="24"/>
      <w:szCs w:val="24"/>
    </w:rPr>
  </w:style>
  <w:style w:type="character" w:customStyle="1" w:styleId="145">
    <w:name w:val="正文首行缩进 字符"/>
    <w:basedOn w:val="99"/>
    <w:link w:val="23"/>
    <w:semiHidden/>
    <w:qFormat/>
    <w:uiPriority w:val="99"/>
    <w:rPr>
      <w:rFonts w:ascii="Times New Roman" w:hAnsi="Times New Roman" w:eastAsia="宋体" w:cs="Times New Roman"/>
      <w:bCs/>
      <w:sz w:val="24"/>
      <w:szCs w:val="24"/>
    </w:rPr>
  </w:style>
  <w:style w:type="character" w:customStyle="1" w:styleId="146">
    <w:name w:val="纯文本 字符1"/>
    <w:qFormat/>
    <w:locked/>
    <w:uiPriority w:val="0"/>
    <w:rPr>
      <w:rFonts w:ascii="宋体" w:hAnsi="Courier New"/>
      <w:kern w:val="2"/>
      <w:sz w:val="28"/>
    </w:rPr>
  </w:style>
  <w:style w:type="character" w:customStyle="1" w:styleId="147">
    <w:name w:val="标题 6 字符"/>
    <w:basedOn w:val="72"/>
    <w:link w:val="7"/>
    <w:qFormat/>
    <w:uiPriority w:val="0"/>
    <w:rPr>
      <w:rFonts w:ascii="Times New Roman" w:hAnsi="Times New Roman" w:eastAsia="宋体" w:cs="Times New Roman"/>
      <w:sz w:val="28"/>
      <w:szCs w:val="20"/>
    </w:rPr>
  </w:style>
  <w:style w:type="character" w:customStyle="1" w:styleId="148">
    <w:name w:val="标题 7 字符"/>
    <w:basedOn w:val="72"/>
    <w:link w:val="9"/>
    <w:qFormat/>
    <w:uiPriority w:val="0"/>
    <w:rPr>
      <w:rFonts w:ascii="Times New Roman" w:hAnsi="Times New Roman" w:eastAsia="宋体" w:cs="Times New Roman"/>
      <w:b/>
      <w:sz w:val="28"/>
      <w:szCs w:val="20"/>
    </w:rPr>
  </w:style>
  <w:style w:type="character" w:customStyle="1" w:styleId="149">
    <w:name w:val="标题 8 字符"/>
    <w:basedOn w:val="72"/>
    <w:link w:val="10"/>
    <w:qFormat/>
    <w:uiPriority w:val="0"/>
    <w:rPr>
      <w:rFonts w:ascii="Arial" w:hAnsi="Arial" w:eastAsia="黑体" w:cs="Times New Roman"/>
      <w:sz w:val="28"/>
      <w:szCs w:val="20"/>
    </w:rPr>
  </w:style>
  <w:style w:type="character" w:customStyle="1" w:styleId="150">
    <w:name w:val="标题 9 字符"/>
    <w:basedOn w:val="72"/>
    <w:link w:val="11"/>
    <w:qFormat/>
    <w:uiPriority w:val="0"/>
    <w:rPr>
      <w:rFonts w:ascii="Arial" w:hAnsi="Arial" w:eastAsia="黑体" w:cs="Times New Roman"/>
      <w:sz w:val="28"/>
      <w:szCs w:val="20"/>
    </w:rPr>
  </w:style>
  <w:style w:type="character" w:customStyle="1" w:styleId="151">
    <w:name w:val="正文文本 3 字符"/>
    <w:basedOn w:val="72"/>
    <w:link w:val="26"/>
    <w:qFormat/>
    <w:uiPriority w:val="0"/>
    <w:rPr>
      <w:rFonts w:ascii="宋体" w:hAnsi="宋体" w:eastAsia="宋体" w:cs="Times New Roman"/>
      <w:sz w:val="22"/>
      <w:szCs w:val="20"/>
    </w:rPr>
  </w:style>
  <w:style w:type="character" w:customStyle="1" w:styleId="152">
    <w:name w:val="正文文本缩进 2 字符"/>
    <w:basedOn w:val="72"/>
    <w:link w:val="40"/>
    <w:qFormat/>
    <w:uiPriority w:val="0"/>
    <w:rPr>
      <w:rFonts w:ascii="Times New Roman" w:hAnsi="Times New Roman" w:eastAsia="宋体" w:cs="Times New Roman"/>
      <w:kern w:val="0"/>
      <w:sz w:val="28"/>
      <w:szCs w:val="24"/>
    </w:rPr>
  </w:style>
  <w:style w:type="character" w:customStyle="1" w:styleId="153">
    <w:name w:val="脚注文本 字符"/>
    <w:basedOn w:val="72"/>
    <w:link w:val="51"/>
    <w:semiHidden/>
    <w:qFormat/>
    <w:uiPriority w:val="0"/>
    <w:rPr>
      <w:rFonts w:ascii="Times New Roman" w:hAnsi="Times New Roman" w:eastAsia="宋体" w:cs="Times New Roman"/>
      <w:sz w:val="18"/>
      <w:szCs w:val="20"/>
    </w:rPr>
  </w:style>
  <w:style w:type="character" w:customStyle="1" w:styleId="154">
    <w:name w:val="正文文本缩进 3 字符"/>
    <w:basedOn w:val="72"/>
    <w:link w:val="54"/>
    <w:qFormat/>
    <w:uiPriority w:val="0"/>
    <w:rPr>
      <w:rFonts w:ascii="Times New Roman" w:hAnsi="Times New Roman" w:eastAsia="宋体" w:cs="Times New Roman"/>
      <w:snapToGrid w:val="0"/>
      <w:color w:val="000000"/>
      <w:kern w:val="0"/>
      <w:sz w:val="28"/>
      <w:szCs w:val="24"/>
    </w:rPr>
  </w:style>
  <w:style w:type="character" w:customStyle="1" w:styleId="155">
    <w:name w:val="正文文本 2 字符"/>
    <w:basedOn w:val="72"/>
    <w:link w:val="57"/>
    <w:qFormat/>
    <w:uiPriority w:val="0"/>
    <w:rPr>
      <w:rFonts w:ascii="楷体_GB2312" w:hAnsi="Times New Roman" w:eastAsia="楷体_GB2312" w:cs="Times New Roman"/>
      <w:sz w:val="28"/>
      <w:szCs w:val="20"/>
    </w:rPr>
  </w:style>
  <w:style w:type="character" w:customStyle="1" w:styleId="156">
    <w:name w:val="表头 Char"/>
    <w:link w:val="157"/>
    <w:qFormat/>
    <w:locked/>
    <w:uiPriority w:val="0"/>
    <w:rPr>
      <w:rFonts w:ascii="宋体" w:hAnsi="宋体" w:eastAsia="宋体"/>
      <w:b/>
      <w:bCs/>
      <w:sz w:val="28"/>
      <w:szCs w:val="24"/>
    </w:rPr>
  </w:style>
  <w:style w:type="paragraph" w:customStyle="1" w:styleId="157">
    <w:name w:val="表头"/>
    <w:basedOn w:val="1"/>
    <w:link w:val="156"/>
    <w:qFormat/>
    <w:uiPriority w:val="0"/>
    <w:pPr>
      <w:spacing w:line="240" w:lineRule="auto"/>
      <w:ind w:firstLine="0" w:firstLineChars="0"/>
    </w:pPr>
    <w:rPr>
      <w:rFonts w:ascii="宋体" w:hAnsi="宋体" w:cstheme="minorBidi"/>
      <w:b/>
    </w:rPr>
  </w:style>
  <w:style w:type="character" w:customStyle="1" w:styleId="158">
    <w:name w:val="我的正文 Char"/>
    <w:qFormat/>
    <w:uiPriority w:val="0"/>
    <w:rPr>
      <w:rFonts w:eastAsia="宋体"/>
      <w:snapToGrid w:val="0"/>
      <w:sz w:val="28"/>
      <w:szCs w:val="24"/>
      <w:lang w:val="en-US" w:eastAsia="zh-CN" w:bidi="ar-SA"/>
    </w:rPr>
  </w:style>
  <w:style w:type="character" w:customStyle="1" w:styleId="159">
    <w:name w:val="表格标题 Char"/>
    <w:link w:val="160"/>
    <w:qFormat/>
    <w:uiPriority w:val="0"/>
    <w:rPr>
      <w:rFonts w:ascii="黑体" w:eastAsia="黑体"/>
      <w:color w:val="000000"/>
      <w:kern w:val="40"/>
      <w:szCs w:val="30"/>
    </w:rPr>
  </w:style>
  <w:style w:type="paragraph" w:customStyle="1" w:styleId="160">
    <w:name w:val="表格标题"/>
    <w:basedOn w:val="24"/>
    <w:link w:val="159"/>
    <w:qFormat/>
    <w:uiPriority w:val="0"/>
    <w:pPr>
      <w:spacing w:after="0"/>
      <w:ind w:firstLine="0" w:firstLineChars="0"/>
      <w:jc w:val="center"/>
    </w:pPr>
    <w:rPr>
      <w:rFonts w:ascii="黑体" w:eastAsia="黑体" w:hAnsiTheme="minorHAnsi" w:cstheme="minorBidi"/>
      <w:bCs w:val="0"/>
      <w:color w:val="000000"/>
      <w:kern w:val="40"/>
      <w:sz w:val="21"/>
      <w:szCs w:val="30"/>
    </w:rPr>
  </w:style>
  <w:style w:type="character" w:customStyle="1" w:styleId="161">
    <w:name w:val="表头文字 Char"/>
    <w:qFormat/>
    <w:uiPriority w:val="0"/>
    <w:rPr>
      <w:rFonts w:eastAsia="宋体"/>
      <w:sz w:val="28"/>
      <w:szCs w:val="28"/>
      <w:lang w:val="en-US" w:eastAsia="zh-CN" w:bidi="ar-SA"/>
    </w:rPr>
  </w:style>
  <w:style w:type="character" w:customStyle="1" w:styleId="162">
    <w:name w:val="表格（五号） Char Char"/>
    <w:link w:val="163"/>
    <w:qFormat/>
    <w:uiPriority w:val="0"/>
    <w:rPr>
      <w:rFonts w:ascii="宋体" w:eastAsia="宋体"/>
      <w:szCs w:val="30"/>
    </w:rPr>
  </w:style>
  <w:style w:type="paragraph" w:customStyle="1" w:styleId="163">
    <w:name w:val="表格（五号）"/>
    <w:basedOn w:val="1"/>
    <w:link w:val="162"/>
    <w:qFormat/>
    <w:uiPriority w:val="0"/>
    <w:pPr>
      <w:snapToGrid w:val="0"/>
      <w:spacing w:line="240" w:lineRule="auto"/>
      <w:ind w:left="-140" w:leftChars="-50" w:right="-140" w:rightChars="-50" w:firstLine="0" w:firstLineChars="0"/>
      <w:jc w:val="center"/>
    </w:pPr>
    <w:rPr>
      <w:rFonts w:ascii="宋体" w:hAnsiTheme="minorHAnsi" w:cstheme="minorBidi"/>
      <w:bCs w:val="0"/>
      <w:sz w:val="21"/>
      <w:szCs w:val="30"/>
    </w:rPr>
  </w:style>
  <w:style w:type="character" w:customStyle="1" w:styleId="164">
    <w:name w:val="表格(小五)"/>
    <w:qFormat/>
    <w:uiPriority w:val="0"/>
    <w:rPr>
      <w:rFonts w:ascii="宋体" w:eastAsia="宋体"/>
      <w:kern w:val="2"/>
      <w:sz w:val="18"/>
      <w:szCs w:val="30"/>
      <w:lang w:val="en-US" w:eastAsia="zh-CN" w:bidi="ar-SA"/>
    </w:rPr>
  </w:style>
  <w:style w:type="character" w:customStyle="1" w:styleId="165">
    <w:name w:val="表头 Char1"/>
    <w:qFormat/>
    <w:uiPriority w:val="0"/>
    <w:rPr>
      <w:rFonts w:eastAsia="宋体"/>
      <w:b/>
      <w:bCs/>
      <w:snapToGrid w:val="0"/>
      <w:kern w:val="2"/>
      <w:sz w:val="28"/>
      <w:szCs w:val="32"/>
      <w:lang w:val="en-US" w:eastAsia="zh-CN" w:bidi="ar-SA"/>
    </w:rPr>
  </w:style>
  <w:style w:type="character" w:customStyle="1" w:styleId="166">
    <w:name w:val="表格文字 Char"/>
    <w:link w:val="167"/>
    <w:qFormat/>
    <w:uiPriority w:val="0"/>
    <w:rPr>
      <w:rFonts w:eastAsia="宋体"/>
      <w:snapToGrid w:val="0"/>
      <w:sz w:val="24"/>
      <w:szCs w:val="24"/>
    </w:rPr>
  </w:style>
  <w:style w:type="paragraph" w:customStyle="1" w:styleId="167">
    <w:name w:val="表格文字"/>
    <w:basedOn w:val="1"/>
    <w:link w:val="166"/>
    <w:qFormat/>
    <w:uiPriority w:val="0"/>
    <w:pPr>
      <w:spacing w:line="240" w:lineRule="auto"/>
      <w:ind w:firstLine="0" w:firstLineChars="0"/>
      <w:jc w:val="center"/>
    </w:pPr>
    <w:rPr>
      <w:rFonts w:asciiTheme="minorHAnsi" w:hAnsiTheme="minorHAnsi" w:cstheme="minorBidi"/>
      <w:bCs w:val="0"/>
      <w:snapToGrid w:val="0"/>
    </w:rPr>
  </w:style>
  <w:style w:type="character" w:customStyle="1" w:styleId="168">
    <w:name w:val="表格 Char"/>
    <w:link w:val="169"/>
    <w:qFormat/>
    <w:uiPriority w:val="0"/>
    <w:rPr>
      <w:rFonts w:eastAsia="宋体"/>
    </w:rPr>
  </w:style>
  <w:style w:type="paragraph" w:customStyle="1" w:styleId="169">
    <w:name w:val="表格"/>
    <w:basedOn w:val="1"/>
    <w:link w:val="168"/>
    <w:qFormat/>
    <w:uiPriority w:val="0"/>
    <w:pPr>
      <w:keepNext/>
      <w:adjustRightInd w:val="0"/>
      <w:spacing w:line="312" w:lineRule="atLeast"/>
      <w:ind w:firstLine="0" w:firstLineChars="0"/>
      <w:jc w:val="center"/>
      <w:textAlignment w:val="baseline"/>
    </w:pPr>
    <w:rPr>
      <w:rFonts w:asciiTheme="minorHAnsi" w:hAnsiTheme="minorHAnsi" w:cstheme="minorBidi"/>
      <w:bCs w:val="0"/>
      <w:sz w:val="21"/>
      <w:szCs w:val="22"/>
    </w:rPr>
  </w:style>
  <w:style w:type="character" w:customStyle="1" w:styleId="170">
    <w:name w:val="tpc_content"/>
    <w:basedOn w:val="72"/>
    <w:qFormat/>
    <w:uiPriority w:val="0"/>
  </w:style>
  <w:style w:type="character" w:customStyle="1" w:styleId="171">
    <w:name w:val="title1"/>
    <w:qFormat/>
    <w:uiPriority w:val="0"/>
    <w:rPr>
      <w:b/>
      <w:bCs/>
      <w:sz w:val="30"/>
      <w:szCs w:val="30"/>
    </w:rPr>
  </w:style>
  <w:style w:type="character" w:customStyle="1" w:styleId="172">
    <w:name w:val="样式 标题 2 + 宋体 Char"/>
    <w:link w:val="173"/>
    <w:qFormat/>
    <w:uiPriority w:val="0"/>
    <w:rPr>
      <w:rFonts w:ascii="宋体" w:hAnsi="宋体" w:eastAsia="宋体"/>
      <w:b/>
      <w:sz w:val="30"/>
      <w:szCs w:val="32"/>
    </w:rPr>
  </w:style>
  <w:style w:type="paragraph" w:customStyle="1" w:styleId="173">
    <w:name w:val="样式 标题 2 + 宋体"/>
    <w:basedOn w:val="3"/>
    <w:link w:val="172"/>
    <w:qFormat/>
    <w:uiPriority w:val="0"/>
    <w:pPr>
      <w:spacing w:before="60" w:beforeLines="0" w:after="60" w:afterLines="0" w:line="240" w:lineRule="auto"/>
      <w:ind w:firstLine="0" w:firstLineChars="0"/>
      <w:jc w:val="left"/>
    </w:pPr>
    <w:rPr>
      <w:rFonts w:ascii="宋体" w:hAnsi="宋体" w:eastAsia="宋体" w:cstheme="minorBidi"/>
      <w:bCs w:val="0"/>
      <w:sz w:val="30"/>
    </w:rPr>
  </w:style>
  <w:style w:type="character" w:customStyle="1" w:styleId="174">
    <w:name w:val="样式 标题 1 + 宋体 小四 加粗 Char"/>
    <w:link w:val="175"/>
    <w:qFormat/>
    <w:uiPriority w:val="0"/>
    <w:rPr>
      <w:rFonts w:ascii="Cambria" w:hAnsi="Cambria" w:eastAsia="宋体"/>
      <w:b/>
      <w:color w:val="365F91"/>
      <w:sz w:val="28"/>
      <w:szCs w:val="28"/>
      <w:lang w:eastAsia="en-US" w:bidi="en-US"/>
    </w:rPr>
  </w:style>
  <w:style w:type="paragraph" w:customStyle="1" w:styleId="175">
    <w:name w:val="样式 标题 1 + 宋体 小四 加粗"/>
    <w:basedOn w:val="2"/>
    <w:link w:val="174"/>
    <w:qFormat/>
    <w:uiPriority w:val="0"/>
    <w:pPr>
      <w:widowControl/>
      <w:spacing w:before="480" w:beforeLines="0" w:after="0" w:afterLines="0" w:line="276" w:lineRule="auto"/>
      <w:ind w:firstLineChars="0"/>
      <w:jc w:val="left"/>
    </w:pPr>
    <w:rPr>
      <w:rFonts w:ascii="Cambria" w:hAnsi="Cambria" w:cstheme="minorBidi"/>
      <w:color w:val="365F91"/>
      <w:kern w:val="2"/>
      <w:sz w:val="28"/>
      <w:szCs w:val="28"/>
      <w:lang w:eastAsia="en-US" w:bidi="en-US"/>
    </w:rPr>
  </w:style>
  <w:style w:type="paragraph" w:customStyle="1" w:styleId="176">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eastAsia="Arial Unicode MS" w:cs="Arial Unicode MS"/>
      <w:bCs w:val="0"/>
      <w:kern w:val="0"/>
    </w:rPr>
  </w:style>
  <w:style w:type="paragraph" w:customStyle="1" w:styleId="177">
    <w:name w:val="我的正文"/>
    <w:basedOn w:val="1"/>
    <w:qFormat/>
    <w:uiPriority w:val="0"/>
    <w:pPr>
      <w:spacing w:line="240" w:lineRule="auto"/>
    </w:pPr>
    <w:rPr>
      <w:bCs w:val="0"/>
      <w:snapToGrid w:val="0"/>
      <w:kern w:val="0"/>
    </w:rPr>
  </w:style>
  <w:style w:type="paragraph" w:customStyle="1" w:styleId="178">
    <w:name w:val="表格样式1"/>
    <w:basedOn w:val="1"/>
    <w:qFormat/>
    <w:uiPriority w:val="0"/>
    <w:pPr>
      <w:adjustRightInd w:val="0"/>
      <w:spacing w:line="20" w:lineRule="atLeast"/>
      <w:ind w:firstLine="0" w:firstLineChars="0"/>
      <w:jc w:val="center"/>
      <w:textAlignment w:val="baseline"/>
    </w:pPr>
    <w:rPr>
      <w:rFonts w:ascii="宋体"/>
      <w:bCs w:val="0"/>
      <w:kern w:val="0"/>
      <w:sz w:val="21"/>
      <w:szCs w:val="20"/>
    </w:rPr>
  </w:style>
  <w:style w:type="paragraph" w:customStyle="1" w:styleId="179">
    <w:name w:val="奇页页眉样式"/>
    <w:basedOn w:val="1"/>
    <w:qFormat/>
    <w:uiPriority w:val="0"/>
    <w:pPr>
      <w:keepLines/>
      <w:widowControl/>
      <w:tabs>
        <w:tab w:val="center" w:pos="-18551"/>
        <w:tab w:val="right" w:pos="4320"/>
      </w:tabs>
      <w:spacing w:after="480" w:line="240" w:lineRule="atLeast"/>
      <w:ind w:firstLine="0" w:firstLineChars="0"/>
      <w:jc w:val="center"/>
    </w:pPr>
    <w:rPr>
      <w:rFonts w:ascii="Garamond" w:hAnsi="Garamond"/>
      <w:bCs w:val="0"/>
      <w:smallCaps/>
      <w:spacing w:val="15"/>
      <w:kern w:val="0"/>
      <w:szCs w:val="20"/>
    </w:rPr>
  </w:style>
  <w:style w:type="paragraph" w:customStyle="1" w:styleId="180">
    <w:name w:val="默认段落字体 Para Char"/>
    <w:basedOn w:val="1"/>
    <w:next w:val="1"/>
    <w:qFormat/>
    <w:uiPriority w:val="0"/>
    <w:rPr>
      <w:rFonts w:ascii="宋体" w:hAnsi="宋体" w:cs="宋体"/>
      <w:bCs w:val="0"/>
    </w:rPr>
  </w:style>
  <w:style w:type="paragraph" w:customStyle="1" w:styleId="181">
    <w:name w:val="正文(首行缩进)"/>
    <w:basedOn w:val="1"/>
    <w:qFormat/>
    <w:uiPriority w:val="0"/>
    <w:pPr>
      <w:ind w:firstLine="510" w:firstLineChars="0"/>
    </w:pPr>
    <w:rPr>
      <w:rFonts w:ascii="宋体" w:hAnsi="宋体"/>
      <w:bCs w:val="0"/>
      <w:snapToGrid w:val="0"/>
      <w:kern w:val="0"/>
    </w:rPr>
  </w:style>
  <w:style w:type="paragraph" w:customStyle="1" w:styleId="182">
    <w:name w:val="Char1"/>
    <w:basedOn w:val="1"/>
    <w:qFormat/>
    <w:uiPriority w:val="0"/>
    <w:pPr>
      <w:spacing w:line="240" w:lineRule="auto"/>
      <w:ind w:firstLine="0" w:firstLineChars="0"/>
    </w:pPr>
    <w:rPr>
      <w:bCs w:val="0"/>
      <w:sz w:val="32"/>
      <w:szCs w:val="32"/>
    </w:rPr>
  </w:style>
  <w:style w:type="paragraph" w:customStyle="1" w:styleId="183">
    <w:name w:val="xl3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Arial Unicode MS" w:hAnsi="Arial Unicode MS" w:eastAsia="Arial Unicode MS" w:cs="Arial Unicode MS"/>
      <w:bCs w:val="0"/>
      <w:kern w:val="0"/>
      <w:sz w:val="25"/>
      <w:szCs w:val="25"/>
    </w:rPr>
  </w:style>
  <w:style w:type="paragraph" w:customStyle="1" w:styleId="184">
    <w:name w:val="正文新"/>
    <w:basedOn w:val="35"/>
    <w:qFormat/>
    <w:uiPriority w:val="0"/>
    <w:pPr>
      <w:spacing w:before="120" w:after="120" w:line="300" w:lineRule="auto"/>
      <w:ind w:firstLine="510" w:firstLineChars="0"/>
    </w:pPr>
    <w:rPr>
      <w:rFonts w:hAnsi="Arial"/>
      <w:bCs w:val="0"/>
      <w:snapToGrid w:val="0"/>
      <w:kern w:val="0"/>
    </w:rPr>
  </w:style>
  <w:style w:type="paragraph" w:customStyle="1" w:styleId="185">
    <w:name w:val="正文1"/>
    <w:basedOn w:val="1"/>
    <w:qFormat/>
    <w:uiPriority w:val="0"/>
    <w:pPr>
      <w:adjustRightInd w:val="0"/>
      <w:spacing w:after="120" w:line="360" w:lineRule="atLeast"/>
      <w:ind w:firstLine="0" w:firstLineChars="0"/>
      <w:jc w:val="center"/>
      <w:textAlignment w:val="baseline"/>
    </w:pPr>
    <w:rPr>
      <w:rFonts w:ascii="宋体"/>
      <w:bCs w:val="0"/>
      <w:kern w:val="0"/>
      <w:szCs w:val="20"/>
    </w:rPr>
  </w:style>
  <w:style w:type="paragraph" w:customStyle="1" w:styleId="186">
    <w:name w:val="基准页眉样式"/>
    <w:basedOn w:val="24"/>
    <w:qFormat/>
    <w:uiPriority w:val="0"/>
    <w:pPr>
      <w:spacing w:after="0" w:line="240" w:lineRule="auto"/>
      <w:ind w:firstLine="0" w:firstLineChars="0"/>
      <w:jc w:val="center"/>
    </w:pPr>
    <w:rPr>
      <w:rFonts w:hAnsi="宋体"/>
      <w:color w:val="000000"/>
      <w:sz w:val="21"/>
      <w:szCs w:val="21"/>
    </w:rPr>
  </w:style>
  <w:style w:type="paragraph" w:customStyle="1" w:styleId="187">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eastAsia="Arial Unicode MS" w:cs="Arial Unicode MS"/>
      <w:bCs w:val="0"/>
      <w:kern w:val="0"/>
      <w:sz w:val="25"/>
      <w:szCs w:val="25"/>
    </w:rPr>
  </w:style>
  <w:style w:type="paragraph" w:customStyle="1" w:styleId="188">
    <w:name w:val="Char Char Char1 Char"/>
    <w:basedOn w:val="1"/>
    <w:next w:val="1"/>
    <w:qFormat/>
    <w:uiPriority w:val="0"/>
    <w:rPr>
      <w:rFonts w:ascii="宋体" w:hAnsi="宋体" w:cs="宋体"/>
      <w:bCs w:val="0"/>
    </w:rPr>
  </w:style>
  <w:style w:type="paragraph" w:customStyle="1" w:styleId="189">
    <w:name w:val="font9"/>
    <w:basedOn w:val="1"/>
    <w:qFormat/>
    <w:uiPriority w:val="0"/>
    <w:pPr>
      <w:widowControl/>
      <w:spacing w:before="100" w:beforeAutospacing="1" w:after="100" w:afterAutospacing="1" w:line="240" w:lineRule="auto"/>
      <w:ind w:firstLine="0" w:firstLineChars="0"/>
      <w:jc w:val="left"/>
    </w:pPr>
    <w:rPr>
      <w:rFonts w:eastAsia="Arial Unicode MS"/>
      <w:bCs w:val="0"/>
      <w:color w:val="333399"/>
      <w:kern w:val="0"/>
      <w:sz w:val="25"/>
      <w:szCs w:val="25"/>
    </w:rPr>
  </w:style>
  <w:style w:type="paragraph" w:customStyle="1" w:styleId="190">
    <w:name w:val="基准页脚样式"/>
    <w:basedOn w:val="24"/>
    <w:qFormat/>
    <w:uiPriority w:val="0"/>
    <w:pPr>
      <w:spacing w:after="0" w:line="320" w:lineRule="exact"/>
      <w:ind w:firstLine="0" w:firstLineChars="0"/>
      <w:jc w:val="center"/>
    </w:pPr>
    <w:rPr>
      <w:rFonts w:ascii="宋体"/>
      <w:bCs w:val="0"/>
      <w:sz w:val="18"/>
    </w:rPr>
  </w:style>
  <w:style w:type="paragraph" w:customStyle="1" w:styleId="191">
    <w:name w:val="默认段落字体 Para Char Char Char Char"/>
    <w:basedOn w:val="1"/>
    <w:qFormat/>
    <w:uiPriority w:val="0"/>
    <w:pPr>
      <w:spacing w:line="240" w:lineRule="auto"/>
      <w:ind w:firstLine="0" w:firstLineChars="0"/>
    </w:pPr>
    <w:rPr>
      <w:bCs w:val="0"/>
      <w:sz w:val="21"/>
    </w:rPr>
  </w:style>
  <w:style w:type="paragraph" w:customStyle="1" w:styleId="192">
    <w:name w:val="我的中文"/>
    <w:basedOn w:val="123"/>
    <w:qFormat/>
    <w:uiPriority w:val="0"/>
    <w:pPr>
      <w:ind w:firstLine="0" w:firstLineChars="0"/>
    </w:pPr>
    <w:rPr>
      <w:bCs w:val="0"/>
    </w:rPr>
  </w:style>
  <w:style w:type="paragraph" w:customStyle="1" w:styleId="193">
    <w:name w:val="font16"/>
    <w:basedOn w:val="1"/>
    <w:qFormat/>
    <w:uiPriority w:val="0"/>
    <w:pPr>
      <w:widowControl/>
      <w:spacing w:before="100" w:beforeAutospacing="1" w:after="100" w:afterAutospacing="1" w:line="240" w:lineRule="auto"/>
      <w:ind w:firstLine="0" w:firstLineChars="0"/>
      <w:jc w:val="left"/>
    </w:pPr>
    <w:rPr>
      <w:rFonts w:hint="eastAsia" w:ascii="宋体" w:hAnsi="宋体" w:cs="Arial Unicode MS"/>
      <w:bCs w:val="0"/>
      <w:color w:val="000080"/>
      <w:kern w:val="0"/>
      <w:sz w:val="25"/>
      <w:szCs w:val="25"/>
    </w:rPr>
  </w:style>
  <w:style w:type="paragraph" w:customStyle="1" w:styleId="194">
    <w:name w:val="xl49"/>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eastAsia="Arial Unicode MS"/>
      <w:bCs w:val="0"/>
      <w:kern w:val="0"/>
      <w:sz w:val="25"/>
      <w:szCs w:val="25"/>
    </w:rPr>
  </w:style>
  <w:style w:type="paragraph" w:customStyle="1" w:styleId="195">
    <w:name w:val="xl30"/>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center"/>
      <w:textAlignment w:val="center"/>
    </w:pPr>
    <w:rPr>
      <w:rFonts w:eastAsia="Arial Unicode MS"/>
      <w:bCs w:val="0"/>
      <w:color w:val="333399"/>
      <w:kern w:val="0"/>
      <w:sz w:val="25"/>
      <w:szCs w:val="25"/>
    </w:rPr>
  </w:style>
  <w:style w:type="paragraph" w:customStyle="1" w:styleId="196">
    <w:name w:val="font6"/>
    <w:basedOn w:val="1"/>
    <w:qFormat/>
    <w:uiPriority w:val="0"/>
    <w:pPr>
      <w:widowControl/>
      <w:spacing w:before="100" w:beforeAutospacing="1" w:after="100" w:afterAutospacing="1" w:line="240" w:lineRule="auto"/>
      <w:ind w:firstLine="0" w:firstLineChars="0"/>
      <w:jc w:val="left"/>
    </w:pPr>
    <w:rPr>
      <w:rFonts w:hint="eastAsia" w:ascii="宋体" w:hAnsi="宋体" w:cs="Arial Unicode MS"/>
      <w:bCs w:val="0"/>
      <w:kern w:val="0"/>
      <w:sz w:val="26"/>
      <w:szCs w:val="26"/>
    </w:rPr>
  </w:style>
  <w:style w:type="paragraph" w:customStyle="1" w:styleId="197">
    <w:name w:val="xl3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textAlignment w:val="center"/>
    </w:pPr>
    <w:rPr>
      <w:rFonts w:eastAsia="Arial Unicode MS"/>
      <w:bCs w:val="0"/>
      <w:color w:val="333399"/>
      <w:kern w:val="0"/>
      <w:sz w:val="25"/>
      <w:szCs w:val="25"/>
    </w:rPr>
  </w:style>
  <w:style w:type="paragraph" w:customStyle="1" w:styleId="198">
    <w:name w:val="Char Char2 Char Char Char Char"/>
    <w:basedOn w:val="1"/>
    <w:qFormat/>
    <w:uiPriority w:val="0"/>
    <w:pPr>
      <w:spacing w:line="240" w:lineRule="auto"/>
      <w:ind w:firstLine="0" w:firstLineChars="0"/>
    </w:pPr>
    <w:rPr>
      <w:bCs w:val="0"/>
      <w:sz w:val="30"/>
      <w:szCs w:val="30"/>
    </w:rPr>
  </w:style>
  <w:style w:type="paragraph" w:customStyle="1" w:styleId="199">
    <w:name w:val="font8"/>
    <w:basedOn w:val="1"/>
    <w:qFormat/>
    <w:uiPriority w:val="0"/>
    <w:pPr>
      <w:widowControl/>
      <w:spacing w:before="100" w:beforeAutospacing="1" w:after="100" w:afterAutospacing="1" w:line="240" w:lineRule="auto"/>
      <w:ind w:firstLine="0" w:firstLineChars="0"/>
      <w:jc w:val="left"/>
    </w:pPr>
    <w:rPr>
      <w:rFonts w:eastAsia="Arial Unicode MS"/>
      <w:bCs w:val="0"/>
      <w:kern w:val="0"/>
      <w:sz w:val="25"/>
      <w:szCs w:val="25"/>
    </w:rPr>
  </w:style>
  <w:style w:type="paragraph" w:customStyle="1" w:styleId="200">
    <w:name w:val="font7"/>
    <w:basedOn w:val="1"/>
    <w:qFormat/>
    <w:uiPriority w:val="0"/>
    <w:pPr>
      <w:widowControl/>
      <w:spacing w:before="100" w:beforeAutospacing="1" w:after="100" w:afterAutospacing="1" w:line="240" w:lineRule="auto"/>
      <w:ind w:firstLine="0" w:firstLineChars="0"/>
      <w:jc w:val="left"/>
    </w:pPr>
    <w:rPr>
      <w:rFonts w:hint="eastAsia" w:ascii="宋体" w:hAnsi="宋体" w:cs="Arial Unicode MS"/>
      <w:bCs w:val="0"/>
      <w:kern w:val="0"/>
      <w:sz w:val="25"/>
      <w:szCs w:val="25"/>
    </w:rPr>
  </w:style>
  <w:style w:type="paragraph" w:customStyle="1" w:styleId="201">
    <w:name w:val="BG1"/>
    <w:basedOn w:val="1"/>
    <w:qFormat/>
    <w:uiPriority w:val="0"/>
    <w:pPr>
      <w:spacing w:line="320" w:lineRule="exact"/>
      <w:ind w:firstLine="0" w:firstLineChars="0"/>
      <w:jc w:val="center"/>
    </w:pPr>
    <w:rPr>
      <w:rFonts w:ascii="宋体" w:hAnsi="宋体"/>
      <w:bCs w:val="0"/>
      <w:color w:val="0000FF"/>
    </w:rPr>
  </w:style>
  <w:style w:type="paragraph" w:customStyle="1" w:styleId="202">
    <w:name w:val="font15"/>
    <w:basedOn w:val="1"/>
    <w:qFormat/>
    <w:uiPriority w:val="0"/>
    <w:pPr>
      <w:widowControl/>
      <w:spacing w:before="100" w:beforeAutospacing="1" w:after="100" w:afterAutospacing="1" w:line="240" w:lineRule="auto"/>
      <w:ind w:firstLine="0" w:firstLineChars="0"/>
      <w:jc w:val="left"/>
    </w:pPr>
    <w:rPr>
      <w:rFonts w:eastAsia="Arial Unicode MS"/>
      <w:bCs w:val="0"/>
      <w:kern w:val="0"/>
      <w:sz w:val="25"/>
      <w:szCs w:val="25"/>
    </w:rPr>
  </w:style>
  <w:style w:type="paragraph" w:customStyle="1" w:styleId="203">
    <w:name w:val="xl46"/>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textAlignment w:val="center"/>
    </w:pPr>
    <w:rPr>
      <w:rFonts w:eastAsia="Arial Unicode MS"/>
      <w:bCs w:val="0"/>
      <w:kern w:val="0"/>
      <w:sz w:val="25"/>
      <w:szCs w:val="25"/>
    </w:rPr>
  </w:style>
  <w:style w:type="paragraph" w:customStyle="1" w:styleId="204">
    <w:name w:val="表内5S"/>
    <w:basedOn w:val="1"/>
    <w:qFormat/>
    <w:uiPriority w:val="0"/>
    <w:pPr>
      <w:spacing w:line="300" w:lineRule="exact"/>
      <w:ind w:firstLine="0" w:firstLineChars="0"/>
      <w:jc w:val="center"/>
    </w:pPr>
    <w:rPr>
      <w:rFonts w:eastAsia="方正宋三简体"/>
      <w:bCs w:val="0"/>
      <w:sz w:val="21"/>
      <w:szCs w:val="20"/>
    </w:rPr>
  </w:style>
  <w:style w:type="paragraph" w:customStyle="1" w:styleId="205">
    <w:name w:val="基准标题"/>
    <w:basedOn w:val="24"/>
    <w:next w:val="24"/>
    <w:qFormat/>
    <w:uiPriority w:val="0"/>
    <w:pPr>
      <w:widowControl/>
      <w:spacing w:after="0" w:line="240" w:lineRule="exact"/>
      <w:ind w:firstLine="0" w:firstLineChars="0"/>
      <w:jc w:val="center"/>
    </w:pPr>
    <w:rPr>
      <w:rFonts w:ascii="宋体" w:hAnsi="宋体"/>
      <w:bCs w:val="0"/>
      <w:sz w:val="21"/>
    </w:rPr>
  </w:style>
  <w:style w:type="paragraph" w:customStyle="1" w:styleId="206">
    <w:name w:val="陈光的正文"/>
    <w:basedOn w:val="1"/>
    <w:qFormat/>
    <w:uiPriority w:val="0"/>
    <w:pPr>
      <w:adjustRightInd w:val="0"/>
      <w:snapToGrid w:val="0"/>
      <w:spacing w:before="31" w:beforeLines="10" w:after="31" w:afterLines="10"/>
      <w:ind w:firstLine="560"/>
    </w:pPr>
    <w:rPr>
      <w:bCs w:val="0"/>
      <w:szCs w:val="20"/>
    </w:rPr>
  </w:style>
  <w:style w:type="paragraph" w:customStyle="1" w:styleId="207">
    <w:name w:val="我的标题1"/>
    <w:basedOn w:val="1"/>
    <w:qFormat/>
    <w:uiPriority w:val="0"/>
    <w:pPr>
      <w:spacing w:before="240"/>
      <w:ind w:firstLine="280" w:firstLineChars="100"/>
      <w:outlineLvl w:val="0"/>
    </w:pPr>
    <w:rPr>
      <w:bCs w:val="0"/>
      <w:snapToGrid w:val="0"/>
      <w:kern w:val="0"/>
    </w:rPr>
  </w:style>
  <w:style w:type="paragraph" w:customStyle="1" w:styleId="208">
    <w:name w:val="xl22"/>
    <w:basedOn w:val="1"/>
    <w:qFormat/>
    <w:uiPriority w:val="0"/>
    <w:pPr>
      <w:widowControl/>
      <w:spacing w:before="100" w:beforeAutospacing="1" w:after="100" w:afterAutospacing="1" w:line="240" w:lineRule="auto"/>
      <w:ind w:firstLine="0" w:firstLineChars="0"/>
      <w:jc w:val="center"/>
    </w:pPr>
    <w:rPr>
      <w:rFonts w:ascii="Arial Unicode MS" w:hAnsi="Arial Unicode MS" w:eastAsia="Arial Unicode MS"/>
      <w:bCs w:val="0"/>
      <w:kern w:val="0"/>
      <w:sz w:val="21"/>
      <w:szCs w:val="21"/>
    </w:rPr>
  </w:style>
  <w:style w:type="paragraph" w:customStyle="1" w:styleId="209">
    <w:name w:val="xl39"/>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bCs w:val="0"/>
      <w:kern w:val="0"/>
      <w:sz w:val="25"/>
      <w:szCs w:val="25"/>
    </w:rPr>
  </w:style>
  <w:style w:type="paragraph" w:customStyle="1" w:styleId="210">
    <w:name w:val="表头文字"/>
    <w:basedOn w:val="177"/>
    <w:qFormat/>
    <w:uiPriority w:val="0"/>
    <w:pPr>
      <w:spacing w:line="480" w:lineRule="exact"/>
      <w:ind w:firstLine="560"/>
    </w:pPr>
  </w:style>
  <w:style w:type="paragraph" w:customStyle="1" w:styleId="211">
    <w:name w:val="xl52"/>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textAlignment w:val="center"/>
    </w:pPr>
    <w:rPr>
      <w:rFonts w:ascii="Arial Unicode MS" w:hAnsi="Arial Unicode MS" w:eastAsia="Arial Unicode MS" w:cs="Arial Unicode MS"/>
      <w:bCs w:val="0"/>
      <w:color w:val="000080"/>
      <w:kern w:val="0"/>
      <w:sz w:val="25"/>
      <w:szCs w:val="25"/>
    </w:rPr>
  </w:style>
  <w:style w:type="paragraph" w:customStyle="1" w:styleId="212">
    <w:name w:val="xl33"/>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textAlignment w:val="center"/>
    </w:pPr>
    <w:rPr>
      <w:rFonts w:ascii="Arial Unicode MS" w:hAnsi="Arial Unicode MS" w:eastAsia="Arial Unicode MS" w:cs="Arial Unicode MS"/>
      <w:bCs w:val="0"/>
      <w:color w:val="333399"/>
      <w:kern w:val="0"/>
      <w:sz w:val="25"/>
      <w:szCs w:val="25"/>
    </w:rPr>
  </w:style>
  <w:style w:type="paragraph" w:customStyle="1" w:styleId="213">
    <w:name w:val="font11"/>
    <w:basedOn w:val="1"/>
    <w:qFormat/>
    <w:uiPriority w:val="0"/>
    <w:pPr>
      <w:widowControl/>
      <w:spacing w:before="100" w:beforeAutospacing="1" w:after="100" w:afterAutospacing="1" w:line="240" w:lineRule="auto"/>
      <w:ind w:firstLine="0" w:firstLineChars="0"/>
      <w:jc w:val="left"/>
    </w:pPr>
    <w:rPr>
      <w:rFonts w:hint="eastAsia" w:ascii="宋体" w:hAnsi="宋体" w:cs="Arial Unicode MS"/>
      <w:b/>
      <w:color w:val="333399"/>
      <w:kern w:val="0"/>
      <w:sz w:val="25"/>
      <w:szCs w:val="25"/>
    </w:rPr>
  </w:style>
  <w:style w:type="paragraph" w:customStyle="1" w:styleId="214">
    <w:name w:val="列出段落1"/>
    <w:basedOn w:val="1"/>
    <w:qFormat/>
    <w:uiPriority w:val="99"/>
    <w:pPr>
      <w:spacing w:line="240" w:lineRule="auto"/>
      <w:ind w:firstLine="420"/>
    </w:pPr>
    <w:rPr>
      <w:rFonts w:ascii="Calibri" w:hAnsi="Calibri"/>
      <w:bCs w:val="0"/>
      <w:sz w:val="21"/>
      <w:szCs w:val="22"/>
    </w:rPr>
  </w:style>
  <w:style w:type="paragraph" w:customStyle="1" w:styleId="215">
    <w:name w:val="标题1"/>
    <w:basedOn w:val="1"/>
    <w:qFormat/>
    <w:uiPriority w:val="0"/>
    <w:pPr>
      <w:ind w:firstLine="0" w:firstLineChars="0"/>
    </w:pPr>
    <w:rPr>
      <w:rFonts w:ascii="黑体" w:hAnsi="宋体" w:eastAsia="黑体"/>
      <w:color w:val="000000"/>
    </w:rPr>
  </w:style>
  <w:style w:type="paragraph" w:customStyle="1" w:styleId="216">
    <w:name w:val="样式3"/>
    <w:basedOn w:val="1"/>
    <w:qFormat/>
    <w:uiPriority w:val="0"/>
    <w:pPr>
      <w:adjustRightInd w:val="0"/>
      <w:snapToGrid w:val="0"/>
      <w:spacing w:line="400" w:lineRule="exact"/>
      <w:ind w:firstLine="0" w:firstLineChars="0"/>
    </w:pPr>
    <w:rPr>
      <w:rFonts w:ascii="宋体" w:hAnsi="宋体"/>
      <w:bCs w:val="0"/>
      <w:snapToGrid w:val="0"/>
      <w:kern w:val="0"/>
      <w:sz w:val="21"/>
      <w:szCs w:val="21"/>
    </w:rPr>
  </w:style>
  <w:style w:type="paragraph" w:customStyle="1" w:styleId="217">
    <w:name w:val="Char Char Char Char"/>
    <w:basedOn w:val="1"/>
    <w:qFormat/>
    <w:uiPriority w:val="0"/>
    <w:pPr>
      <w:spacing w:line="240" w:lineRule="auto"/>
      <w:ind w:firstLine="0" w:firstLineChars="0"/>
    </w:pPr>
    <w:rPr>
      <w:bCs w:val="0"/>
      <w:spacing w:val="-20"/>
      <w:sz w:val="21"/>
    </w:rPr>
  </w:style>
  <w:style w:type="paragraph" w:customStyle="1" w:styleId="218">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eastAsia="Arial Unicode MS"/>
      <w:bCs w:val="0"/>
      <w:kern w:val="0"/>
      <w:sz w:val="25"/>
      <w:szCs w:val="25"/>
    </w:rPr>
  </w:style>
  <w:style w:type="paragraph" w:customStyle="1" w:styleId="219">
    <w:name w:val="xl25"/>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textAlignment w:val="center"/>
    </w:pPr>
    <w:rPr>
      <w:rFonts w:ascii="Arial Unicode MS" w:hAnsi="Arial Unicode MS" w:eastAsia="Arial Unicode MS" w:cs="Arial Unicode MS"/>
      <w:bCs w:val="0"/>
      <w:color w:val="333399"/>
      <w:kern w:val="0"/>
      <w:sz w:val="25"/>
      <w:szCs w:val="25"/>
    </w:rPr>
  </w:style>
  <w:style w:type="paragraph" w:customStyle="1" w:styleId="220">
    <w:name w:val="xl38"/>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textAlignment w:val="center"/>
    </w:pPr>
    <w:rPr>
      <w:rFonts w:ascii="Arial Unicode MS" w:hAnsi="Arial Unicode MS" w:eastAsia="Arial Unicode MS" w:cs="Arial Unicode MS"/>
      <w:bCs w:val="0"/>
      <w:kern w:val="0"/>
      <w:sz w:val="25"/>
      <w:szCs w:val="25"/>
    </w:rPr>
  </w:style>
  <w:style w:type="paragraph" w:customStyle="1" w:styleId="221">
    <w:name w:val="xl36"/>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eastAsia="Arial Unicode MS" w:cs="Arial Unicode MS"/>
      <w:bCs w:val="0"/>
      <w:kern w:val="0"/>
      <w:sz w:val="25"/>
      <w:szCs w:val="25"/>
    </w:rPr>
  </w:style>
  <w:style w:type="paragraph" w:customStyle="1" w:styleId="222">
    <w:name w:val="Char"/>
    <w:basedOn w:val="1"/>
    <w:qFormat/>
    <w:uiPriority w:val="0"/>
    <w:pPr>
      <w:spacing w:line="240" w:lineRule="auto"/>
      <w:ind w:firstLine="0" w:firstLineChars="0"/>
    </w:pPr>
    <w:rPr>
      <w:bCs w:val="0"/>
      <w:sz w:val="32"/>
      <w:szCs w:val="32"/>
    </w:rPr>
  </w:style>
  <w:style w:type="paragraph" w:customStyle="1" w:styleId="223">
    <w:name w:val="xl55"/>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eastAsia="Arial Unicode MS" w:cs="Arial Unicode MS"/>
      <w:bCs w:val="0"/>
      <w:kern w:val="0"/>
      <w:sz w:val="25"/>
      <w:szCs w:val="25"/>
    </w:rPr>
  </w:style>
  <w:style w:type="paragraph" w:customStyle="1" w:styleId="224">
    <w:name w:val="xl35"/>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right"/>
      <w:textAlignment w:val="center"/>
    </w:pPr>
    <w:rPr>
      <w:rFonts w:eastAsia="Arial Unicode MS"/>
      <w:bCs w:val="0"/>
      <w:color w:val="333399"/>
      <w:kern w:val="0"/>
      <w:sz w:val="25"/>
      <w:szCs w:val="25"/>
    </w:rPr>
  </w:style>
  <w:style w:type="paragraph" w:customStyle="1" w:styleId="225">
    <w:name w:val="表格题目"/>
    <w:basedOn w:val="1"/>
    <w:qFormat/>
    <w:uiPriority w:val="0"/>
    <w:pPr>
      <w:snapToGrid w:val="0"/>
      <w:spacing w:line="240" w:lineRule="auto"/>
      <w:ind w:left="-50" w:leftChars="-50" w:right="-50" w:rightChars="-50" w:firstLine="0" w:firstLineChars="0"/>
      <w:jc w:val="center"/>
    </w:pPr>
    <w:rPr>
      <w:rFonts w:ascii="宋体"/>
      <w:bCs w:val="0"/>
      <w:szCs w:val="28"/>
    </w:rPr>
  </w:style>
  <w:style w:type="paragraph" w:customStyle="1" w:styleId="226">
    <w:name w:val="xl29"/>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textAlignment w:val="center"/>
    </w:pPr>
    <w:rPr>
      <w:rFonts w:eastAsia="Arial Unicode MS"/>
      <w:bCs w:val="0"/>
      <w:color w:val="333399"/>
      <w:kern w:val="0"/>
      <w:sz w:val="25"/>
      <w:szCs w:val="25"/>
    </w:rPr>
  </w:style>
  <w:style w:type="paragraph" w:customStyle="1" w:styleId="227">
    <w:name w:val="Char Char1"/>
    <w:basedOn w:val="1"/>
    <w:next w:val="1"/>
    <w:qFormat/>
    <w:uiPriority w:val="0"/>
    <w:rPr>
      <w:rFonts w:ascii="宋体" w:hAnsi="宋体" w:cs="宋体"/>
      <w:bCs w:val="0"/>
    </w:rPr>
  </w:style>
  <w:style w:type="paragraph" w:customStyle="1" w:styleId="228">
    <w:name w:val="xl48"/>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bCs w:val="0"/>
      <w:kern w:val="0"/>
      <w:sz w:val="25"/>
      <w:szCs w:val="25"/>
    </w:rPr>
  </w:style>
  <w:style w:type="paragraph" w:customStyle="1" w:styleId="229">
    <w:name w:val="xl26"/>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bCs w:val="0"/>
      <w:color w:val="333399"/>
      <w:kern w:val="0"/>
      <w:sz w:val="25"/>
      <w:szCs w:val="25"/>
    </w:rPr>
  </w:style>
  <w:style w:type="paragraph" w:customStyle="1" w:styleId="230">
    <w:name w:val="xl32"/>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right"/>
      <w:textAlignment w:val="center"/>
    </w:pPr>
    <w:rPr>
      <w:rFonts w:eastAsia="Arial Unicode MS"/>
      <w:bCs w:val="0"/>
      <w:color w:val="333399"/>
      <w:kern w:val="0"/>
      <w:sz w:val="25"/>
      <w:szCs w:val="25"/>
    </w:rPr>
  </w:style>
  <w:style w:type="paragraph" w:customStyle="1" w:styleId="231">
    <w:name w:val="表中"/>
    <w:qFormat/>
    <w:uiPriority w:val="0"/>
    <w:pPr>
      <w:spacing w:line="360" w:lineRule="auto"/>
      <w:jc w:val="center"/>
    </w:pPr>
    <w:rPr>
      <w:rFonts w:ascii="宋体" w:hAnsi="宋体" w:eastAsia="宋体" w:cs="Times New Roman"/>
      <w:color w:val="FF0000"/>
      <w:kern w:val="44"/>
      <w:sz w:val="21"/>
      <w:szCs w:val="21"/>
      <w:lang w:val="en-US" w:eastAsia="zh-CN" w:bidi="ar-SA"/>
    </w:rPr>
  </w:style>
  <w:style w:type="paragraph" w:customStyle="1" w:styleId="232">
    <w:name w:val="xl44"/>
    <w:basedOn w:val="1"/>
    <w:qFormat/>
    <w:uiPriority w:val="0"/>
    <w:pPr>
      <w:widowControl/>
      <w:spacing w:before="100" w:beforeAutospacing="1" w:after="100" w:afterAutospacing="1" w:line="240" w:lineRule="auto"/>
      <w:ind w:firstLine="0" w:firstLineChars="0"/>
      <w:jc w:val="center"/>
      <w:textAlignment w:val="center"/>
    </w:pPr>
    <w:rPr>
      <w:rFonts w:ascii="Arial Unicode MS" w:hAnsi="Arial Unicode MS" w:eastAsia="Arial Unicode MS" w:cs="Arial Unicode MS"/>
      <w:bCs w:val="0"/>
      <w:kern w:val="0"/>
      <w:sz w:val="25"/>
      <w:szCs w:val="25"/>
    </w:rPr>
  </w:style>
  <w:style w:type="paragraph" w:customStyle="1" w:styleId="233">
    <w:name w:val="样式2"/>
    <w:basedOn w:val="1"/>
    <w:qFormat/>
    <w:uiPriority w:val="0"/>
    <w:pPr>
      <w:spacing w:line="300" w:lineRule="atLeast"/>
      <w:ind w:firstLine="0" w:firstLineChars="0"/>
      <w:jc w:val="center"/>
    </w:pPr>
    <w:rPr>
      <w:rFonts w:eastAsia="楷体_GB2312"/>
      <w:bCs w:val="0"/>
      <w:sz w:val="21"/>
      <w:szCs w:val="20"/>
    </w:rPr>
  </w:style>
  <w:style w:type="paragraph" w:customStyle="1" w:styleId="234">
    <w:name w:val="二级无标题条"/>
    <w:basedOn w:val="1"/>
    <w:qFormat/>
    <w:uiPriority w:val="0"/>
    <w:pPr>
      <w:ind w:firstLine="0" w:firstLineChars="0"/>
    </w:pPr>
    <w:rPr>
      <w:rFonts w:ascii="宋体"/>
      <w:bCs w:val="0"/>
    </w:rPr>
  </w:style>
  <w:style w:type="paragraph" w:customStyle="1" w:styleId="235">
    <w:name w:val="font5"/>
    <w:basedOn w:val="1"/>
    <w:qFormat/>
    <w:uiPriority w:val="0"/>
    <w:pPr>
      <w:widowControl/>
      <w:spacing w:before="100" w:beforeAutospacing="1" w:after="100" w:afterAutospacing="1" w:line="240" w:lineRule="auto"/>
      <w:ind w:firstLine="0" w:firstLineChars="0"/>
      <w:jc w:val="left"/>
    </w:pPr>
    <w:rPr>
      <w:rFonts w:hint="eastAsia" w:ascii="宋体" w:hAnsi="宋体" w:cs="Arial Unicode MS"/>
      <w:bCs w:val="0"/>
      <w:kern w:val="0"/>
      <w:sz w:val="18"/>
      <w:szCs w:val="18"/>
    </w:rPr>
  </w:style>
  <w:style w:type="paragraph" w:customStyle="1" w:styleId="236">
    <w:name w:val="Char1 Char Char Char"/>
    <w:basedOn w:val="1"/>
    <w:semiHidden/>
    <w:qFormat/>
    <w:uiPriority w:val="0"/>
    <w:pPr>
      <w:spacing w:line="240" w:lineRule="auto"/>
      <w:ind w:firstLine="0" w:firstLineChars="0"/>
    </w:pPr>
    <w:rPr>
      <w:bCs w:val="0"/>
      <w:sz w:val="21"/>
    </w:rPr>
  </w:style>
  <w:style w:type="paragraph" w:customStyle="1" w:styleId="237">
    <w:name w:val="Char2"/>
    <w:basedOn w:val="1"/>
    <w:qFormat/>
    <w:uiPriority w:val="0"/>
    <w:pPr>
      <w:spacing w:line="240" w:lineRule="auto"/>
      <w:ind w:firstLine="0" w:firstLineChars="0"/>
    </w:pPr>
    <w:rPr>
      <w:bCs w:val="0"/>
      <w:sz w:val="32"/>
      <w:szCs w:val="32"/>
    </w:rPr>
  </w:style>
  <w:style w:type="paragraph" w:customStyle="1" w:styleId="238">
    <w:name w:val="样式 标题 1 + 宋体 四号 加粗 段前: 0 磅 行距: 1.5 倍行距"/>
    <w:basedOn w:val="2"/>
    <w:qFormat/>
    <w:uiPriority w:val="0"/>
    <w:pPr>
      <w:spacing w:before="312" w:after="120" w:afterLines="0"/>
      <w:ind w:firstLineChars="0"/>
      <w:jc w:val="center"/>
    </w:pPr>
    <w:rPr>
      <w:rFonts w:ascii="宋体" w:hAnsi="宋体" w:cs="宋体"/>
      <w:bCs/>
      <w:szCs w:val="20"/>
    </w:rPr>
  </w:style>
  <w:style w:type="paragraph" w:customStyle="1" w:styleId="239">
    <w:name w:val="Objective"/>
    <w:basedOn w:val="1"/>
    <w:next w:val="24"/>
    <w:qFormat/>
    <w:uiPriority w:val="0"/>
    <w:pPr>
      <w:widowControl/>
      <w:spacing w:before="220" w:after="220" w:line="220" w:lineRule="atLeast"/>
      <w:ind w:firstLine="0" w:firstLineChars="0"/>
      <w:jc w:val="left"/>
    </w:pPr>
    <w:rPr>
      <w:bCs w:val="0"/>
      <w:spacing w:val="20"/>
      <w:kern w:val="0"/>
      <w:szCs w:val="20"/>
    </w:rPr>
  </w:style>
  <w:style w:type="paragraph" w:customStyle="1" w:styleId="240">
    <w:name w:val="font10"/>
    <w:basedOn w:val="1"/>
    <w:qFormat/>
    <w:uiPriority w:val="0"/>
    <w:pPr>
      <w:widowControl/>
      <w:spacing w:before="100" w:beforeAutospacing="1" w:after="100" w:afterAutospacing="1" w:line="240" w:lineRule="auto"/>
      <w:ind w:firstLine="0" w:firstLineChars="0"/>
      <w:jc w:val="left"/>
    </w:pPr>
    <w:rPr>
      <w:rFonts w:hint="eastAsia" w:ascii="宋体" w:hAnsi="宋体" w:cs="Arial Unicode MS"/>
      <w:bCs w:val="0"/>
      <w:color w:val="333399"/>
      <w:kern w:val="0"/>
      <w:sz w:val="25"/>
      <w:szCs w:val="25"/>
    </w:rPr>
  </w:style>
  <w:style w:type="paragraph" w:customStyle="1" w:styleId="241">
    <w:name w:val="xl5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eastAsia="Arial Unicode MS"/>
      <w:bCs w:val="0"/>
      <w:color w:val="000080"/>
      <w:kern w:val="0"/>
      <w:sz w:val="25"/>
      <w:szCs w:val="25"/>
    </w:rPr>
  </w:style>
  <w:style w:type="paragraph" w:customStyle="1" w:styleId="242">
    <w:name w:val="font12"/>
    <w:basedOn w:val="1"/>
    <w:qFormat/>
    <w:uiPriority w:val="0"/>
    <w:pPr>
      <w:widowControl/>
      <w:spacing w:before="100" w:beforeAutospacing="1" w:after="100" w:afterAutospacing="1" w:line="240" w:lineRule="auto"/>
      <w:ind w:firstLine="0" w:firstLineChars="0"/>
      <w:jc w:val="left"/>
    </w:pPr>
    <w:rPr>
      <w:rFonts w:eastAsia="Arial Unicode MS"/>
      <w:b/>
      <w:color w:val="333399"/>
      <w:kern w:val="0"/>
      <w:sz w:val="25"/>
      <w:szCs w:val="25"/>
    </w:rPr>
  </w:style>
  <w:style w:type="paragraph" w:customStyle="1" w:styleId="243">
    <w:name w:val="正文王"/>
    <w:basedOn w:val="35"/>
    <w:qFormat/>
    <w:uiPriority w:val="0"/>
    <w:pPr>
      <w:spacing w:line="440" w:lineRule="exact"/>
      <w:ind w:firstLine="0" w:firstLineChars="0"/>
    </w:pPr>
    <w:rPr>
      <w:rFonts w:ascii="Arial" w:hAnsi="Arial"/>
      <w:bCs w:val="0"/>
      <w:snapToGrid w:val="0"/>
      <w:kern w:val="0"/>
    </w:rPr>
  </w:style>
  <w:style w:type="paragraph" w:customStyle="1" w:styleId="244">
    <w:name w:val="font13"/>
    <w:basedOn w:val="1"/>
    <w:qFormat/>
    <w:uiPriority w:val="0"/>
    <w:pPr>
      <w:widowControl/>
      <w:spacing w:before="100" w:beforeAutospacing="1" w:after="100" w:afterAutospacing="1" w:line="240" w:lineRule="auto"/>
      <w:ind w:firstLine="0" w:firstLineChars="0"/>
      <w:jc w:val="left"/>
    </w:pPr>
    <w:rPr>
      <w:rFonts w:eastAsia="Arial Unicode MS"/>
      <w:bCs w:val="0"/>
      <w:kern w:val="0"/>
      <w:sz w:val="26"/>
      <w:szCs w:val="26"/>
    </w:rPr>
  </w:style>
  <w:style w:type="paragraph" w:customStyle="1" w:styleId="245">
    <w:name w:val="s16qcsl240slmult0nowidct"/>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customStyle="1" w:styleId="246">
    <w:name w:val="xl47"/>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left"/>
      <w:textAlignment w:val="center"/>
    </w:pPr>
    <w:rPr>
      <w:rFonts w:ascii="Arial Unicode MS" w:hAnsi="Arial Unicode MS" w:eastAsia="Arial Unicode MS" w:cs="Arial Unicode MS"/>
      <w:bCs w:val="0"/>
      <w:kern w:val="0"/>
      <w:sz w:val="25"/>
      <w:szCs w:val="25"/>
    </w:rPr>
  </w:style>
  <w:style w:type="paragraph" w:customStyle="1" w:styleId="247">
    <w:name w:val="Char Char2 Char Char Char Char1"/>
    <w:basedOn w:val="1"/>
    <w:qFormat/>
    <w:uiPriority w:val="0"/>
    <w:pPr>
      <w:spacing w:line="240" w:lineRule="auto"/>
      <w:ind w:firstLine="0" w:firstLineChars="0"/>
    </w:pPr>
    <w:rPr>
      <w:bCs w:val="0"/>
      <w:sz w:val="30"/>
      <w:szCs w:val="30"/>
    </w:rPr>
  </w:style>
  <w:style w:type="paragraph" w:customStyle="1" w:styleId="248">
    <w:name w:val="xl40"/>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right"/>
      <w:textAlignment w:val="center"/>
    </w:pPr>
    <w:rPr>
      <w:rFonts w:ascii="Arial Unicode MS" w:hAnsi="Arial Unicode MS" w:eastAsia="Arial Unicode MS" w:cs="Arial Unicode MS"/>
      <w:bCs w:val="0"/>
      <w:kern w:val="0"/>
      <w:sz w:val="25"/>
      <w:szCs w:val="25"/>
    </w:rPr>
  </w:style>
  <w:style w:type="paragraph" w:customStyle="1" w:styleId="249">
    <w:name w:val="xl28"/>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eastAsia="Arial Unicode MS"/>
      <w:bCs w:val="0"/>
      <w:color w:val="333399"/>
      <w:kern w:val="0"/>
      <w:sz w:val="25"/>
      <w:szCs w:val="25"/>
    </w:rPr>
  </w:style>
  <w:style w:type="paragraph" w:customStyle="1" w:styleId="250">
    <w:name w:val="xl53"/>
    <w:basedOn w:val="1"/>
    <w:qFormat/>
    <w:uiPriority w:val="0"/>
    <w:pPr>
      <w:widowControl/>
      <w:pBdr>
        <w:top w:val="single" w:color="auto" w:sz="4" w:space="0"/>
      </w:pBdr>
      <w:spacing w:before="100" w:beforeAutospacing="1" w:after="100" w:afterAutospacing="1" w:line="240" w:lineRule="auto"/>
      <w:ind w:firstLine="0" w:firstLineChars="0"/>
      <w:jc w:val="center"/>
    </w:pPr>
    <w:rPr>
      <w:rFonts w:ascii="Arial Unicode MS" w:hAnsi="Arial Unicode MS" w:eastAsia="Arial Unicode MS" w:cs="Arial Unicode MS"/>
      <w:bCs w:val="0"/>
      <w:kern w:val="0"/>
      <w:sz w:val="25"/>
      <w:szCs w:val="25"/>
    </w:rPr>
  </w:style>
  <w:style w:type="paragraph" w:customStyle="1" w:styleId="251">
    <w:name w:val="xl34"/>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b/>
      <w:color w:val="333399"/>
      <w:kern w:val="0"/>
      <w:sz w:val="25"/>
      <w:szCs w:val="25"/>
    </w:rPr>
  </w:style>
  <w:style w:type="paragraph" w:customStyle="1" w:styleId="252">
    <w:name w:val="表内字"/>
    <w:basedOn w:val="35"/>
    <w:qFormat/>
    <w:uiPriority w:val="0"/>
    <w:pPr>
      <w:snapToGrid w:val="0"/>
      <w:spacing w:line="300" w:lineRule="auto"/>
      <w:ind w:firstLine="0" w:firstLineChars="0"/>
      <w:jc w:val="center"/>
    </w:pPr>
    <w:rPr>
      <w:rFonts w:ascii="Arial" w:hAnsi="Arial"/>
      <w:bCs w:val="0"/>
      <w:kern w:val="0"/>
      <w:sz w:val="21"/>
    </w:rPr>
  </w:style>
  <w:style w:type="paragraph" w:customStyle="1" w:styleId="253">
    <w:name w:val="Char1 Char Char Char1"/>
    <w:basedOn w:val="1"/>
    <w:qFormat/>
    <w:uiPriority w:val="0"/>
    <w:rPr>
      <w:rFonts w:ascii="宋体" w:hAnsi="宋体" w:cs="宋体"/>
      <w:bCs w:val="0"/>
    </w:rPr>
  </w:style>
  <w:style w:type="paragraph" w:customStyle="1" w:styleId="254">
    <w:name w:val="Achievement"/>
    <w:basedOn w:val="24"/>
    <w:qFormat/>
    <w:uiPriority w:val="0"/>
    <w:pPr>
      <w:widowControl/>
      <w:spacing w:after="60" w:line="220" w:lineRule="atLeast"/>
      <w:ind w:left="245" w:right="-360" w:hanging="245" w:firstLineChars="0"/>
      <w:jc w:val="left"/>
    </w:pPr>
    <w:rPr>
      <w:bCs w:val="0"/>
      <w:kern w:val="0"/>
      <w:sz w:val="20"/>
      <w:szCs w:val="20"/>
    </w:rPr>
  </w:style>
  <w:style w:type="paragraph" w:customStyle="1" w:styleId="255">
    <w:name w:val="xl41"/>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cs="Arial Unicode MS"/>
      <w:bCs w:val="0"/>
      <w:kern w:val="0"/>
      <w:sz w:val="25"/>
      <w:szCs w:val="25"/>
    </w:rPr>
  </w:style>
  <w:style w:type="paragraph" w:customStyle="1" w:styleId="256">
    <w:name w:val="!Texte courant"/>
    <w:qFormat/>
    <w:uiPriority w:val="0"/>
    <w:pPr>
      <w:spacing w:before="120" w:line="280" w:lineRule="atLeast"/>
      <w:jc w:val="both"/>
    </w:pPr>
    <w:rPr>
      <w:rFonts w:ascii="Times New Roman" w:hAnsi="Times New Roman" w:eastAsia="宋体" w:cs="Times New Roman"/>
      <w:sz w:val="24"/>
      <w:lang w:val="fr-FR" w:eastAsia="en-US" w:bidi="ar-SA"/>
    </w:rPr>
  </w:style>
  <w:style w:type="paragraph" w:customStyle="1" w:styleId="257">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eastAsia="Arial Unicode MS"/>
      <w:bCs w:val="0"/>
      <w:kern w:val="0"/>
    </w:rPr>
  </w:style>
  <w:style w:type="paragraph" w:customStyle="1" w:styleId="258">
    <w:name w:val="xl45"/>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rFonts w:eastAsia="Arial Unicode MS"/>
      <w:bCs w:val="0"/>
      <w:kern w:val="0"/>
    </w:rPr>
  </w:style>
  <w:style w:type="paragraph" w:customStyle="1" w:styleId="259">
    <w:name w:val="奉读大示，心折殊深。"/>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0">
    <w:name w:val="表"/>
    <w:basedOn w:val="50"/>
    <w:qFormat/>
    <w:uiPriority w:val="0"/>
    <w:pPr>
      <w:spacing w:line="280" w:lineRule="exact"/>
      <w:ind w:left="0" w:firstLine="0" w:firstLineChars="0"/>
      <w:contextualSpacing w:val="0"/>
      <w:jc w:val="center"/>
    </w:pPr>
    <w:rPr>
      <w:bCs w:val="0"/>
      <w:sz w:val="22"/>
      <w:szCs w:val="22"/>
    </w:rPr>
  </w:style>
  <w:style w:type="paragraph" w:customStyle="1" w:styleId="261">
    <w:name w:val="TOC 标题11"/>
    <w:basedOn w:val="2"/>
    <w:next w:val="1"/>
    <w:unhideWhenUsed/>
    <w:qFormat/>
    <w:uiPriority w:val="0"/>
    <w:pPr>
      <w:widowControl/>
      <w:spacing w:before="480" w:beforeLines="0" w:after="0" w:afterLines="0" w:line="276" w:lineRule="auto"/>
      <w:ind w:firstLineChars="0"/>
      <w:jc w:val="left"/>
      <w:outlineLvl w:val="9"/>
    </w:pPr>
    <w:rPr>
      <w:rFonts w:ascii="Cambria" w:hAnsi="Cambria"/>
      <w:bCs/>
      <w:color w:val="365F91"/>
      <w:kern w:val="0"/>
      <w:sz w:val="28"/>
      <w:szCs w:val="28"/>
    </w:rPr>
  </w:style>
  <w:style w:type="paragraph" w:customStyle="1" w:styleId="262">
    <w:name w:val="Char Char61"/>
    <w:basedOn w:val="1"/>
    <w:next w:val="1"/>
    <w:qFormat/>
    <w:uiPriority w:val="0"/>
    <w:rPr>
      <w:bCs w:val="0"/>
      <w:sz w:val="21"/>
      <w:szCs w:val="20"/>
    </w:rPr>
  </w:style>
  <w:style w:type="table" w:customStyle="1" w:styleId="263">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64">
    <w:name w:val="0正文"/>
    <w:qFormat/>
    <w:uiPriority w:val="0"/>
    <w:pPr>
      <w:widowControl w:val="0"/>
      <w:spacing w:line="360" w:lineRule="auto"/>
      <w:jc w:val="center"/>
    </w:pPr>
    <w:rPr>
      <w:rFonts w:ascii="Times New Roman" w:hAnsi="Times New Roman" w:eastAsia="宋体" w:cs="Times New Roman"/>
      <w:sz w:val="28"/>
      <w:szCs w:val="28"/>
      <w:lang w:val="en-US" w:eastAsia="zh-CN" w:bidi="ar-SA"/>
    </w:rPr>
  </w:style>
  <w:style w:type="paragraph" w:customStyle="1" w:styleId="265">
    <w:name w:val="[1]正文"/>
    <w:basedOn w:val="1"/>
    <w:link w:val="560"/>
    <w:qFormat/>
    <w:uiPriority w:val="0"/>
    <w:pPr>
      <w:autoSpaceDE w:val="0"/>
      <w:autoSpaceDN w:val="0"/>
      <w:spacing w:line="240" w:lineRule="auto"/>
    </w:pPr>
    <w:rPr>
      <w:bCs w:val="0"/>
      <w:color w:val="000000"/>
      <w:kern w:val="0"/>
      <w:lang w:val="zh-CN"/>
    </w:rPr>
  </w:style>
  <w:style w:type="character" w:customStyle="1" w:styleId="266">
    <w:name w:val="表号 Char1"/>
    <w:qFormat/>
    <w:uiPriority w:val="0"/>
    <w:rPr>
      <w:rFonts w:eastAsia="宋体" w:cs="宋体"/>
      <w:kern w:val="2"/>
      <w:sz w:val="24"/>
      <w:szCs w:val="24"/>
      <w:lang w:val="en-US" w:eastAsia="zh-CN" w:bidi="ar-SA"/>
    </w:rPr>
  </w:style>
  <w:style w:type="paragraph" w:customStyle="1" w:styleId="267">
    <w:name w:val="Char1 Char Char Char Char Char Char Char Char"/>
    <w:basedOn w:val="1"/>
    <w:qFormat/>
    <w:uiPriority w:val="0"/>
    <w:pPr>
      <w:spacing w:line="240" w:lineRule="auto"/>
      <w:ind w:firstLine="0" w:firstLineChars="0"/>
    </w:pPr>
    <w:rPr>
      <w:rFonts w:ascii="Calibri" w:hAnsi="Calibri" w:eastAsia="等线"/>
      <w:bCs w:val="0"/>
      <w:sz w:val="21"/>
    </w:rPr>
  </w:style>
  <w:style w:type="paragraph" w:customStyle="1" w:styleId="268">
    <w:name w:val="Char1 Char Char Char Char Char Char Char Char4"/>
    <w:basedOn w:val="1"/>
    <w:qFormat/>
    <w:uiPriority w:val="0"/>
    <w:pPr>
      <w:spacing w:line="240" w:lineRule="auto"/>
      <w:ind w:firstLine="0" w:firstLineChars="0"/>
    </w:pPr>
    <w:rPr>
      <w:rFonts w:ascii="Calibri" w:hAnsi="Calibri" w:eastAsia="等线"/>
      <w:bCs w:val="0"/>
      <w:sz w:val="21"/>
    </w:rPr>
  </w:style>
  <w:style w:type="paragraph" w:customStyle="1" w:styleId="269">
    <w:name w:val="1正文"/>
    <w:basedOn w:val="1"/>
    <w:qFormat/>
    <w:uiPriority w:val="0"/>
    <w:pPr>
      <w:snapToGrid w:val="0"/>
    </w:pPr>
    <w:rPr>
      <w:bCs w:val="0"/>
      <w:color w:val="000000"/>
    </w:rPr>
  </w:style>
  <w:style w:type="paragraph" w:customStyle="1" w:styleId="270">
    <w:name w:val="Char1 Char Char Char Char Char Char Char Char3"/>
    <w:basedOn w:val="1"/>
    <w:qFormat/>
    <w:uiPriority w:val="0"/>
    <w:pPr>
      <w:spacing w:line="240" w:lineRule="auto"/>
      <w:ind w:firstLine="0" w:firstLineChars="0"/>
    </w:pPr>
    <w:rPr>
      <w:rFonts w:ascii="Calibri" w:hAnsi="Calibri" w:eastAsia="等线"/>
      <w:bCs w:val="0"/>
      <w:sz w:val="21"/>
    </w:rPr>
  </w:style>
  <w:style w:type="paragraph" w:customStyle="1" w:styleId="271">
    <w:name w:val="Char1 Char Char Char Char Char Char Char Char2"/>
    <w:basedOn w:val="1"/>
    <w:qFormat/>
    <w:uiPriority w:val="0"/>
    <w:pPr>
      <w:spacing w:line="240" w:lineRule="auto"/>
      <w:ind w:firstLine="0" w:firstLineChars="0"/>
    </w:pPr>
    <w:rPr>
      <w:rFonts w:ascii="Calibri" w:hAnsi="Calibri" w:eastAsia="等线"/>
      <w:bCs w:val="0"/>
      <w:sz w:val="21"/>
    </w:rPr>
  </w:style>
  <w:style w:type="paragraph" w:customStyle="1" w:styleId="272">
    <w:name w:val="Char1 Char Char Char Char Char Char Char Char1"/>
    <w:basedOn w:val="1"/>
    <w:qFormat/>
    <w:uiPriority w:val="0"/>
    <w:pPr>
      <w:spacing w:line="240" w:lineRule="auto"/>
      <w:ind w:firstLine="0" w:firstLineChars="0"/>
    </w:pPr>
    <w:rPr>
      <w:rFonts w:ascii="Calibri" w:hAnsi="Calibri" w:eastAsia="等线"/>
      <w:bCs w:val="0"/>
      <w:sz w:val="21"/>
    </w:rPr>
  </w:style>
  <w:style w:type="character" w:customStyle="1" w:styleId="273">
    <w:name w:val="正文缩进 字符"/>
    <w:link w:val="8"/>
    <w:qFormat/>
    <w:uiPriority w:val="0"/>
    <w:rPr>
      <w:rFonts w:ascii="Times New Roman" w:hAnsi="Times New Roman" w:eastAsia="宋体" w:cs="Times New Roman"/>
      <w:bCs/>
      <w:sz w:val="24"/>
      <w:szCs w:val="20"/>
    </w:rPr>
  </w:style>
  <w:style w:type="paragraph" w:customStyle="1" w:styleId="274">
    <w:name w:val="LH7表头"/>
    <w:basedOn w:val="1"/>
    <w:qFormat/>
    <w:uiPriority w:val="0"/>
    <w:pPr>
      <w:spacing w:line="240" w:lineRule="auto"/>
      <w:ind w:firstLine="0" w:firstLineChars="0"/>
      <w:jc w:val="center"/>
    </w:pPr>
    <w:rPr>
      <w:b/>
      <w:bCs w:val="0"/>
      <w:color w:val="000000"/>
    </w:rPr>
  </w:style>
  <w:style w:type="table" w:customStyle="1" w:styleId="275">
    <w:name w:val="网格型1"/>
    <w:basedOn w:val="65"/>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
    <w:name w:val="网格型2"/>
    <w:basedOn w:val="65"/>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7">
    <w:name w:val="页眉 Char"/>
    <w:qFormat/>
    <w:uiPriority w:val="99"/>
    <w:rPr>
      <w:rFonts w:eastAsia="宋体"/>
      <w:kern w:val="2"/>
      <w:sz w:val="18"/>
      <w:szCs w:val="18"/>
      <w:lang w:val="en-US" w:eastAsia="zh-CN" w:bidi="ar-SA"/>
    </w:rPr>
  </w:style>
  <w:style w:type="character" w:customStyle="1" w:styleId="278">
    <w:name w:val="text11"/>
    <w:qFormat/>
    <w:uiPriority w:val="0"/>
    <w:rPr>
      <w:sz w:val="20"/>
      <w:szCs w:val="20"/>
    </w:rPr>
  </w:style>
  <w:style w:type="paragraph" w:customStyle="1" w:styleId="279">
    <w:name w:val="说明-正文"/>
    <w:basedOn w:val="1"/>
    <w:qFormat/>
    <w:uiPriority w:val="0"/>
    <w:pPr>
      <w:spacing w:before="120" w:beforeLines="50" w:after="360" w:afterLines="150" w:line="400" w:lineRule="exact"/>
      <w:ind w:firstLine="480"/>
    </w:pPr>
    <w:rPr>
      <w:rFonts w:ascii="宋体" w:cs="宋体"/>
      <w:bCs w:val="0"/>
      <w:szCs w:val="20"/>
    </w:rPr>
  </w:style>
  <w:style w:type="paragraph" w:customStyle="1" w:styleId="280">
    <w:name w:val="条-成果 Char"/>
    <w:basedOn w:val="4"/>
    <w:qFormat/>
    <w:uiPriority w:val="0"/>
    <w:pPr>
      <w:keepNext w:val="0"/>
      <w:keepLines w:val="0"/>
      <w:numPr>
        <w:ilvl w:val="0"/>
        <w:numId w:val="0"/>
      </w:numPr>
      <w:spacing w:before="156" w:beforeLines="50" w:after="156" w:afterLines="50" w:line="400" w:lineRule="exact"/>
      <w:ind w:firstLine="538" w:firstLineChars="192"/>
      <w:outlineLvl w:val="9"/>
    </w:pPr>
    <w:rPr>
      <w:rFonts w:ascii="宋体" w:hAnsi="宋体" w:cs="宋体"/>
      <w:b w:val="0"/>
      <w:bCs/>
      <w:szCs w:val="28"/>
    </w:rPr>
  </w:style>
  <w:style w:type="character" w:customStyle="1" w:styleId="281">
    <w:name w:val="条-成果 Char Char"/>
    <w:qFormat/>
    <w:uiPriority w:val="0"/>
    <w:rPr>
      <w:rFonts w:ascii="宋体" w:hAnsi="宋体" w:eastAsia="宋体" w:cs="宋体"/>
      <w:bCs/>
      <w:kern w:val="2"/>
      <w:sz w:val="28"/>
      <w:szCs w:val="28"/>
      <w:lang w:val="en-US" w:eastAsia="zh-CN" w:bidi="ar-SA"/>
    </w:rPr>
  </w:style>
  <w:style w:type="paragraph" w:customStyle="1" w:styleId="282">
    <w:name w:val="四号 正文"/>
    <w:basedOn w:val="1"/>
    <w:qFormat/>
    <w:uiPriority w:val="0"/>
    <w:pPr>
      <w:ind w:firstLine="584"/>
    </w:pPr>
    <w:rPr>
      <w:rFonts w:cs="宋体"/>
      <w:bCs w:val="0"/>
      <w:spacing w:val="6"/>
      <w:szCs w:val="20"/>
    </w:rPr>
  </w:style>
  <w:style w:type="character" w:customStyle="1" w:styleId="283">
    <w:name w:val="四号 正文 Char"/>
    <w:qFormat/>
    <w:uiPriority w:val="0"/>
    <w:rPr>
      <w:rFonts w:eastAsia="宋体" w:cs="宋体"/>
      <w:spacing w:val="6"/>
      <w:kern w:val="2"/>
      <w:sz w:val="28"/>
      <w:lang w:val="en-US" w:eastAsia="zh-CN" w:bidi="ar-SA"/>
    </w:rPr>
  </w:style>
  <w:style w:type="paragraph" w:customStyle="1" w:styleId="284">
    <w:name w:val="样式加黑体并加粗"/>
    <w:basedOn w:val="1"/>
    <w:qFormat/>
    <w:uiPriority w:val="0"/>
    <w:pPr>
      <w:spacing w:line="420" w:lineRule="exact"/>
    </w:pPr>
    <w:rPr>
      <w:rFonts w:ascii="黑体" w:hAnsi="宋体" w:eastAsia="黑体"/>
      <w:b/>
      <w:bCs w:val="0"/>
    </w:rPr>
  </w:style>
  <w:style w:type="paragraph" w:customStyle="1" w:styleId="285">
    <w:name w:val="加黑加粗并上下空0.5"/>
    <w:basedOn w:val="1"/>
    <w:qFormat/>
    <w:uiPriority w:val="0"/>
    <w:pPr>
      <w:spacing w:before="50" w:beforeLines="50" w:after="50" w:afterLines="50" w:line="420" w:lineRule="exact"/>
    </w:pPr>
    <w:rPr>
      <w:rFonts w:ascii="黑体" w:hAnsi="宋体" w:eastAsia="黑体"/>
      <w:b/>
      <w:bCs w:val="0"/>
    </w:rPr>
  </w:style>
  <w:style w:type="paragraph" w:customStyle="1" w:styleId="286">
    <w:name w:val="Body Text First Indent1"/>
    <w:basedOn w:val="24"/>
    <w:qFormat/>
    <w:uiPriority w:val="0"/>
    <w:pPr>
      <w:adjustRightInd w:val="0"/>
      <w:spacing w:after="0" w:line="312" w:lineRule="auto"/>
      <w:ind w:firstLine="567"/>
      <w:textAlignment w:val="baseline"/>
    </w:pPr>
    <w:rPr>
      <w:bCs w:val="0"/>
      <w:kern w:val="0"/>
      <w:szCs w:val="20"/>
      <w:lang w:val="zh-CN"/>
    </w:rPr>
  </w:style>
  <w:style w:type="paragraph" w:customStyle="1" w:styleId="287">
    <w:name w:val="88888"/>
    <w:basedOn w:val="1"/>
    <w:qFormat/>
    <w:uiPriority w:val="0"/>
    <w:pPr>
      <w:tabs>
        <w:tab w:val="left" w:pos="210"/>
      </w:tabs>
      <w:spacing w:line="480" w:lineRule="auto"/>
      <w:ind w:left="210" w:hanging="210"/>
    </w:pPr>
    <w:rPr>
      <w:bCs w:val="0"/>
      <w:szCs w:val="20"/>
    </w:rPr>
  </w:style>
  <w:style w:type="paragraph" w:customStyle="1" w:styleId="288">
    <w:name w:val="说明-标题4"/>
    <w:basedOn w:val="5"/>
    <w:qFormat/>
    <w:uiPriority w:val="0"/>
    <w:pPr>
      <w:numPr>
        <w:ilvl w:val="0"/>
        <w:numId w:val="0"/>
      </w:numPr>
      <w:spacing w:before="240" w:after="288" w:afterLines="120" w:line="376" w:lineRule="atLeast"/>
      <w:ind w:left="240" w:leftChars="100" w:firstLine="482"/>
    </w:pPr>
    <w:rPr>
      <w:rFonts w:ascii="Arial" w:hAnsi="Arial" w:eastAsia="黑体" w:cs="宋体"/>
      <w:b w:val="0"/>
      <w:szCs w:val="24"/>
      <w:lang w:val="zh-CN"/>
    </w:rPr>
  </w:style>
  <w:style w:type="paragraph" w:customStyle="1" w:styleId="289">
    <w:name w:val="Normal.PS"/>
    <w:qFormat/>
    <w:uiPriority w:val="0"/>
    <w:pPr>
      <w:spacing w:after="120"/>
      <w:jc w:val="both"/>
    </w:pPr>
    <w:rPr>
      <w:rFonts w:ascii="Arial" w:hAnsi="Arial" w:eastAsia="宋体" w:cs="Times New Roman"/>
      <w:sz w:val="22"/>
      <w:lang w:val="en-GB" w:eastAsia="en-US" w:bidi="ar-SA"/>
    </w:rPr>
  </w:style>
  <w:style w:type="character" w:customStyle="1" w:styleId="290">
    <w:name w:val="Normal.PS Char"/>
    <w:qFormat/>
    <w:uiPriority w:val="0"/>
    <w:rPr>
      <w:rFonts w:ascii="Arial" w:hAnsi="Arial" w:eastAsia="宋体"/>
      <w:sz w:val="22"/>
      <w:lang w:val="en-GB" w:eastAsia="en-US" w:bidi="ar-SA"/>
    </w:rPr>
  </w:style>
  <w:style w:type="paragraph" w:customStyle="1" w:styleId="291">
    <w:name w:val="Char Char Char1 Char Char Char Char"/>
    <w:basedOn w:val="1"/>
    <w:qFormat/>
    <w:uiPriority w:val="0"/>
    <w:pPr>
      <w:adjustRightInd w:val="0"/>
      <w:spacing w:before="60" w:after="60" w:line="312" w:lineRule="auto"/>
      <w:textAlignment w:val="baseline"/>
    </w:pPr>
    <w:rPr>
      <w:rFonts w:ascii="Tahoma" w:hAnsi="Tahoma" w:eastAsia="仿宋_GB2312"/>
      <w:bCs w:val="0"/>
      <w:kern w:val="0"/>
      <w:szCs w:val="20"/>
    </w:rPr>
  </w:style>
  <w:style w:type="character" w:customStyle="1" w:styleId="292">
    <w:name w:val="标题 字符"/>
    <w:basedOn w:val="72"/>
    <w:qFormat/>
    <w:uiPriority w:val="10"/>
    <w:rPr>
      <w:rFonts w:asciiTheme="majorHAnsi" w:hAnsiTheme="majorHAnsi" w:eastAsiaTheme="majorEastAsia" w:cstheme="majorBidi"/>
      <w:b/>
      <w:bCs/>
      <w:sz w:val="32"/>
      <w:szCs w:val="32"/>
    </w:rPr>
  </w:style>
  <w:style w:type="paragraph" w:customStyle="1" w:styleId="293">
    <w:name w:val="表格正文"/>
    <w:qFormat/>
    <w:uiPriority w:val="0"/>
    <w:pPr>
      <w:widowControl w:val="0"/>
      <w:tabs>
        <w:tab w:val="left" w:pos="-3"/>
      </w:tabs>
      <w:adjustRightInd w:val="0"/>
      <w:snapToGrid w:val="0"/>
      <w:spacing w:before="100" w:beforeAutospacing="1" w:after="100" w:afterAutospacing="1" w:line="360" w:lineRule="auto"/>
      <w:ind w:left="851" w:firstLine="420" w:firstLineChars="200"/>
      <w:jc w:val="both"/>
    </w:pPr>
    <w:rPr>
      <w:rFonts w:ascii="Times New Roman" w:hAnsi="Times New Roman" w:eastAsia="宋体" w:cs="Times New Roman"/>
      <w:sz w:val="21"/>
      <w:lang w:val="en-US" w:eastAsia="zh-CN" w:bidi="ar-SA"/>
    </w:rPr>
  </w:style>
  <w:style w:type="character" w:customStyle="1" w:styleId="294">
    <w:name w:val="Char Char"/>
    <w:qFormat/>
    <w:uiPriority w:val="0"/>
    <w:rPr>
      <w:rFonts w:eastAsia="宋体"/>
      <w:sz w:val="24"/>
      <w:szCs w:val="24"/>
      <w:lang w:val="en-US" w:eastAsia="zh-CN" w:bidi="ar-SA"/>
    </w:rPr>
  </w:style>
  <w:style w:type="paragraph" w:customStyle="1" w:styleId="295">
    <w:name w:val="Style Left Line spacing:  single"/>
    <w:basedOn w:val="1"/>
    <w:qFormat/>
    <w:uiPriority w:val="0"/>
    <w:pPr>
      <w:widowControl/>
      <w:spacing w:line="360" w:lineRule="atLeast"/>
      <w:ind w:left="1418"/>
    </w:pPr>
    <w:rPr>
      <w:rFonts w:ascii="Arial" w:hAnsi="Arial"/>
      <w:bCs w:val="0"/>
      <w:kern w:val="0"/>
      <w:lang w:val="en-GB" w:eastAsia="en-US"/>
    </w:rPr>
  </w:style>
  <w:style w:type="paragraph" w:customStyle="1" w:styleId="296">
    <w:name w:val="St_E1"/>
    <w:basedOn w:val="1"/>
    <w:qFormat/>
    <w:uiPriority w:val="0"/>
    <w:pPr>
      <w:widowControl/>
      <w:tabs>
        <w:tab w:val="left" w:pos="426"/>
      </w:tabs>
      <w:spacing w:line="360" w:lineRule="atLeast"/>
      <w:ind w:left="426" w:hanging="426"/>
    </w:pPr>
    <w:rPr>
      <w:rFonts w:ascii="Arial" w:hAnsi="Arial"/>
      <w:bCs w:val="0"/>
      <w:kern w:val="0"/>
      <w:szCs w:val="20"/>
      <w:lang w:val="en-GB" w:eastAsia="en-US"/>
    </w:rPr>
  </w:style>
  <w:style w:type="paragraph" w:customStyle="1" w:styleId="297">
    <w:name w:val="Char Char Char Char Char Char Char Char Char Char Char Char Char Char Char Char Char Char Char"/>
    <w:basedOn w:val="1"/>
    <w:qFormat/>
    <w:uiPriority w:val="0"/>
    <w:pPr>
      <w:snapToGrid w:val="0"/>
    </w:pPr>
    <w:rPr>
      <w:rFonts w:ascii="宋体" w:hAnsi="宋体"/>
      <w:bCs w:val="0"/>
      <w:kern w:val="0"/>
      <w:szCs w:val="20"/>
    </w:rPr>
  </w:style>
  <w:style w:type="paragraph" w:customStyle="1" w:styleId="298">
    <w:name w:val="nilo_正文"/>
    <w:basedOn w:val="1"/>
    <w:qFormat/>
    <w:uiPriority w:val="0"/>
    <w:pPr>
      <w:spacing w:line="300" w:lineRule="auto"/>
      <w:jc w:val="left"/>
    </w:pPr>
    <w:rPr>
      <w:rFonts w:ascii="宋体" w:hAnsi="宋体"/>
      <w:bCs w:val="0"/>
      <w:szCs w:val="21"/>
    </w:rPr>
  </w:style>
  <w:style w:type="character" w:customStyle="1" w:styleId="299">
    <w:name w:val="正式海油文字 Char Char"/>
    <w:link w:val="300"/>
    <w:qFormat/>
    <w:uiPriority w:val="0"/>
    <w:rPr>
      <w:color w:val="000000"/>
      <w:sz w:val="24"/>
      <w:szCs w:val="28"/>
    </w:rPr>
  </w:style>
  <w:style w:type="paragraph" w:customStyle="1" w:styleId="300">
    <w:name w:val="正式海油文字"/>
    <w:basedOn w:val="1"/>
    <w:link w:val="299"/>
    <w:qFormat/>
    <w:uiPriority w:val="0"/>
    <w:pPr>
      <w:adjustRightInd w:val="0"/>
      <w:snapToGrid w:val="0"/>
      <w:spacing w:line="500" w:lineRule="exact"/>
      <w:jc w:val="left"/>
    </w:pPr>
    <w:rPr>
      <w:rFonts w:asciiTheme="minorHAnsi" w:hAnsiTheme="minorHAnsi" w:eastAsiaTheme="minorEastAsia" w:cstheme="minorBidi"/>
      <w:bCs w:val="0"/>
      <w:color w:val="000000"/>
      <w:szCs w:val="28"/>
    </w:rPr>
  </w:style>
  <w:style w:type="character" w:customStyle="1" w:styleId="301">
    <w:name w:val="正文文本缩进 Char"/>
    <w:qFormat/>
    <w:uiPriority w:val="0"/>
    <w:rPr>
      <w:kern w:val="2"/>
      <w:sz w:val="21"/>
      <w:szCs w:val="24"/>
    </w:rPr>
  </w:style>
  <w:style w:type="paragraph" w:customStyle="1" w:styleId="302">
    <w:name w:val="p0"/>
    <w:basedOn w:val="1"/>
    <w:qFormat/>
    <w:uiPriority w:val="0"/>
    <w:pPr>
      <w:widowControl/>
    </w:pPr>
    <w:rPr>
      <w:bCs w:val="0"/>
      <w:kern w:val="0"/>
      <w:szCs w:val="21"/>
    </w:rPr>
  </w:style>
  <w:style w:type="paragraph" w:customStyle="1" w:styleId="303">
    <w:name w:val="p18"/>
    <w:basedOn w:val="1"/>
    <w:qFormat/>
    <w:uiPriority w:val="0"/>
    <w:pPr>
      <w:widowControl/>
      <w:ind w:firstLine="420"/>
    </w:pPr>
    <w:rPr>
      <w:bCs w:val="0"/>
      <w:kern w:val="0"/>
    </w:rPr>
  </w:style>
  <w:style w:type="character" w:customStyle="1" w:styleId="304">
    <w:name w:val="正式文字 Char2"/>
    <w:link w:val="305"/>
    <w:qFormat/>
    <w:uiPriority w:val="0"/>
    <w:rPr>
      <w:rFonts w:ascii="宋体" w:hAnsi="宋体"/>
      <w:color w:val="000000"/>
      <w:sz w:val="28"/>
      <w:szCs w:val="28"/>
    </w:rPr>
  </w:style>
  <w:style w:type="paragraph" w:customStyle="1" w:styleId="305">
    <w:name w:val="正式文字"/>
    <w:basedOn w:val="1"/>
    <w:link w:val="304"/>
    <w:qFormat/>
    <w:uiPriority w:val="0"/>
    <w:pPr>
      <w:adjustRightInd w:val="0"/>
      <w:snapToGrid w:val="0"/>
      <w:ind w:firstLine="560"/>
      <w:jc w:val="left"/>
    </w:pPr>
    <w:rPr>
      <w:rFonts w:ascii="宋体" w:hAnsi="宋体" w:eastAsiaTheme="minorEastAsia" w:cstheme="minorBidi"/>
      <w:bCs w:val="0"/>
      <w:color w:val="000000"/>
      <w:szCs w:val="28"/>
    </w:rPr>
  </w:style>
  <w:style w:type="character" w:customStyle="1" w:styleId="306">
    <w:name w:val="正文文本 Char1"/>
    <w:qFormat/>
    <w:uiPriority w:val="99"/>
    <w:rPr>
      <w:kern w:val="2"/>
      <w:sz w:val="21"/>
      <w:szCs w:val="24"/>
    </w:rPr>
  </w:style>
  <w:style w:type="paragraph" w:customStyle="1" w:styleId="307">
    <w:name w:val="表小4"/>
    <w:basedOn w:val="1"/>
    <w:qFormat/>
    <w:uiPriority w:val="0"/>
    <w:pPr>
      <w:tabs>
        <w:tab w:val="left" w:pos="0"/>
        <w:tab w:val="left" w:pos="2619"/>
      </w:tabs>
      <w:spacing w:line="0" w:lineRule="atLeast"/>
      <w:ind w:firstLine="560"/>
      <w:jc w:val="center"/>
    </w:pPr>
    <w:rPr>
      <w:rFonts w:ascii="宋体" w:hAnsi="宋体"/>
      <w:bCs w:val="0"/>
      <w:szCs w:val="20"/>
    </w:rPr>
  </w:style>
  <w:style w:type="paragraph" w:customStyle="1" w:styleId="308">
    <w:name w:val="样式 样式 表 + 首行缩进:  2 字符 + 小四"/>
    <w:basedOn w:val="1"/>
    <w:qFormat/>
    <w:uiPriority w:val="0"/>
    <w:pPr>
      <w:keepNext/>
      <w:keepLines/>
      <w:tabs>
        <w:tab w:val="left" w:pos="429"/>
      </w:tabs>
      <w:adjustRightInd w:val="0"/>
      <w:spacing w:line="300" w:lineRule="exact"/>
      <w:jc w:val="center"/>
      <w:textAlignment w:val="baseline"/>
    </w:pPr>
    <w:rPr>
      <w:rFonts w:eastAsia="楷体_GB2312" w:cs="宋体"/>
      <w:bCs w:val="0"/>
      <w:color w:val="000080"/>
      <w:spacing w:val="10"/>
      <w:kern w:val="0"/>
      <w:szCs w:val="21"/>
    </w:rPr>
  </w:style>
  <w:style w:type="character" w:customStyle="1" w:styleId="309">
    <w:name w:val="页脚 Char"/>
    <w:qFormat/>
    <w:uiPriority w:val="99"/>
    <w:rPr>
      <w:kern w:val="2"/>
      <w:sz w:val="18"/>
      <w:szCs w:val="18"/>
    </w:rPr>
  </w:style>
  <w:style w:type="character" w:customStyle="1" w:styleId="310">
    <w:name w:val="b1 Char"/>
    <w:qFormat/>
    <w:uiPriority w:val="0"/>
    <w:rPr>
      <w:rFonts w:ascii="宋体"/>
      <w:b/>
      <w:kern w:val="2"/>
      <w:sz w:val="24"/>
    </w:rPr>
  </w:style>
  <w:style w:type="character" w:customStyle="1" w:styleId="311">
    <w:name w:val="H3 Char"/>
    <w:qFormat/>
    <w:uiPriority w:val="0"/>
    <w:rPr>
      <w:b/>
      <w:kern w:val="2"/>
      <w:sz w:val="32"/>
      <w:lang w:val="zh-CN" w:eastAsia="zh-CN"/>
    </w:rPr>
  </w:style>
  <w:style w:type="character" w:customStyle="1" w:styleId="312">
    <w:name w:val="标题 4 Char"/>
    <w:qFormat/>
    <w:uiPriority w:val="0"/>
    <w:rPr>
      <w:rFonts w:ascii="Arial" w:hAnsi="Arial" w:eastAsia="黑体"/>
      <w:b/>
      <w:sz w:val="28"/>
      <w:lang w:val="zh-CN" w:eastAsia="zh-CN"/>
    </w:rPr>
  </w:style>
  <w:style w:type="character" w:customStyle="1" w:styleId="313">
    <w:name w:val="标题 5 Char"/>
    <w:qFormat/>
    <w:uiPriority w:val="0"/>
    <w:rPr>
      <w:b/>
      <w:sz w:val="28"/>
      <w:lang w:val="zh-CN" w:eastAsia="zh-CN"/>
    </w:rPr>
  </w:style>
  <w:style w:type="character" w:customStyle="1" w:styleId="314">
    <w:name w:val="标题 6 Char"/>
    <w:qFormat/>
    <w:uiPriority w:val="0"/>
    <w:rPr>
      <w:rFonts w:ascii="Arial" w:hAnsi="Arial" w:eastAsia="黑体"/>
      <w:b/>
      <w:sz w:val="24"/>
      <w:lang w:val="zh-CN" w:eastAsia="zh-CN"/>
    </w:rPr>
  </w:style>
  <w:style w:type="character" w:customStyle="1" w:styleId="315">
    <w:name w:val="标题 7 Char"/>
    <w:qFormat/>
    <w:uiPriority w:val="0"/>
    <w:rPr>
      <w:rFonts w:ascii="宋体"/>
      <w:b/>
      <w:color w:val="FF00FF"/>
      <w:kern w:val="28"/>
      <w:sz w:val="30"/>
      <w:lang w:val="zh-CN" w:eastAsia="zh-CN"/>
    </w:rPr>
  </w:style>
  <w:style w:type="character" w:customStyle="1" w:styleId="316">
    <w:name w:val="标题 8 Char"/>
    <w:qFormat/>
    <w:uiPriority w:val="0"/>
    <w:rPr>
      <w:rFonts w:ascii="宋体" w:eastAsia="@宋体"/>
      <w:i/>
      <w:strike/>
      <w:color w:val="FF0000"/>
      <w:kern w:val="28"/>
      <w:sz w:val="18"/>
      <w:lang w:val="zh-CN" w:eastAsia="zh-CN"/>
    </w:rPr>
  </w:style>
  <w:style w:type="character" w:customStyle="1" w:styleId="317">
    <w:name w:val="标题 9 Char"/>
    <w:qFormat/>
    <w:uiPriority w:val="0"/>
    <w:rPr>
      <w:rFonts w:ascii="宋体" w:eastAsia="@宋体"/>
      <w:i/>
      <w:strike/>
      <w:color w:val="FF0000"/>
      <w:kern w:val="28"/>
      <w:sz w:val="18"/>
      <w:lang w:val="zh-CN" w:eastAsia="zh-CN"/>
    </w:rPr>
  </w:style>
  <w:style w:type="character" w:customStyle="1" w:styleId="318">
    <w:name w:val="正文文本缩进 3 Char"/>
    <w:qFormat/>
    <w:uiPriority w:val="0"/>
    <w:rPr>
      <w:spacing w:val="-4"/>
      <w:kern w:val="2"/>
      <w:sz w:val="28"/>
      <w:szCs w:val="24"/>
    </w:rPr>
  </w:style>
  <w:style w:type="character" w:customStyle="1" w:styleId="319">
    <w:name w:val="正文文本缩进 2 Char"/>
    <w:qFormat/>
    <w:uiPriority w:val="0"/>
    <w:rPr>
      <w:kern w:val="2"/>
      <w:sz w:val="21"/>
      <w:szCs w:val="24"/>
    </w:rPr>
  </w:style>
  <w:style w:type="character" w:customStyle="1" w:styleId="320">
    <w:name w:val="日期 Char"/>
    <w:qFormat/>
    <w:uiPriority w:val="0"/>
    <w:rPr>
      <w:kern w:val="2"/>
      <w:sz w:val="28"/>
      <w:szCs w:val="24"/>
    </w:rPr>
  </w:style>
  <w:style w:type="character" w:customStyle="1" w:styleId="321">
    <w:name w:val="正文文本 2 Char"/>
    <w:qFormat/>
    <w:uiPriority w:val="0"/>
    <w:rPr>
      <w:kern w:val="2"/>
      <w:sz w:val="21"/>
      <w:szCs w:val="24"/>
    </w:rPr>
  </w:style>
  <w:style w:type="character" w:customStyle="1" w:styleId="322">
    <w:name w:val="正文首行缩进 2 Char"/>
    <w:qFormat/>
    <w:uiPriority w:val="0"/>
    <w:rPr>
      <w:kern w:val="2"/>
      <w:sz w:val="21"/>
    </w:rPr>
  </w:style>
  <w:style w:type="character" w:customStyle="1" w:styleId="323">
    <w:name w:val="正文文本 3 Char"/>
    <w:qFormat/>
    <w:uiPriority w:val="0"/>
    <w:rPr>
      <w:kern w:val="2"/>
      <w:sz w:val="16"/>
      <w:szCs w:val="16"/>
    </w:rPr>
  </w:style>
  <w:style w:type="character" w:customStyle="1" w:styleId="324">
    <w:name w:val="批注框文本 Char"/>
    <w:semiHidden/>
    <w:qFormat/>
    <w:uiPriority w:val="99"/>
    <w:rPr>
      <w:kern w:val="2"/>
      <w:sz w:val="18"/>
      <w:szCs w:val="18"/>
    </w:rPr>
  </w:style>
  <w:style w:type="character" w:customStyle="1" w:styleId="325">
    <w:name w:val="Char Char12"/>
    <w:qFormat/>
    <w:uiPriority w:val="0"/>
    <w:rPr>
      <w:kern w:val="2"/>
      <w:sz w:val="18"/>
      <w:szCs w:val="18"/>
    </w:rPr>
  </w:style>
  <w:style w:type="paragraph" w:customStyle="1" w:styleId="326">
    <w:name w:val="Char1 Char Char Char Char Char Char"/>
    <w:basedOn w:val="1"/>
    <w:qFormat/>
    <w:uiPriority w:val="0"/>
    <w:rPr>
      <w:bCs w:val="0"/>
    </w:rPr>
  </w:style>
  <w:style w:type="character" w:customStyle="1" w:styleId="327">
    <w:name w:val="批注文字 Char"/>
    <w:qFormat/>
    <w:uiPriority w:val="0"/>
    <w:rPr>
      <w:sz w:val="24"/>
    </w:rPr>
  </w:style>
  <w:style w:type="paragraph" w:customStyle="1" w:styleId="328">
    <w:name w:val="正文首行缩进1"/>
    <w:basedOn w:val="24"/>
    <w:qFormat/>
    <w:uiPriority w:val="0"/>
    <w:pPr>
      <w:adjustRightInd w:val="0"/>
      <w:spacing w:after="0" w:line="312" w:lineRule="auto"/>
      <w:ind w:firstLine="567"/>
      <w:textAlignment w:val="baseline"/>
    </w:pPr>
    <w:rPr>
      <w:bCs w:val="0"/>
      <w:kern w:val="0"/>
      <w:szCs w:val="20"/>
      <w:lang w:val="zh-CN"/>
    </w:rPr>
  </w:style>
  <w:style w:type="paragraph" w:customStyle="1" w:styleId="329">
    <w:name w:val="font0"/>
    <w:basedOn w:val="1"/>
    <w:qFormat/>
    <w:uiPriority w:val="0"/>
    <w:pPr>
      <w:widowControl/>
      <w:spacing w:before="100" w:beforeAutospacing="1" w:after="100" w:afterAutospacing="1"/>
      <w:jc w:val="left"/>
    </w:pPr>
    <w:rPr>
      <w:rFonts w:hint="eastAsia" w:ascii="宋体" w:hAnsi="宋体" w:cs="Arial Unicode MS"/>
      <w:bCs w:val="0"/>
      <w:kern w:val="0"/>
    </w:rPr>
  </w:style>
  <w:style w:type="paragraph" w:customStyle="1" w:styleId="330">
    <w:name w:val="xl5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Cs w:val="0"/>
      <w:kern w:val="0"/>
    </w:rPr>
  </w:style>
  <w:style w:type="paragraph" w:customStyle="1" w:styleId="331">
    <w:name w:val="xl5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Cs w:val="0"/>
      <w:kern w:val="0"/>
    </w:rPr>
  </w:style>
  <w:style w:type="paragraph" w:customStyle="1" w:styleId="332">
    <w:name w:val="xl58"/>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Cs w:val="0"/>
      <w:kern w:val="0"/>
    </w:rPr>
  </w:style>
  <w:style w:type="paragraph" w:customStyle="1" w:styleId="333">
    <w:name w:val="xl5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Cs w:val="0"/>
      <w:kern w:val="0"/>
    </w:rPr>
  </w:style>
  <w:style w:type="paragraph" w:customStyle="1" w:styleId="334">
    <w:name w:val="xl60"/>
    <w:basedOn w:val="1"/>
    <w:qFormat/>
    <w:uiPriority w:val="0"/>
    <w:pPr>
      <w:widowControl/>
      <w:pBdr>
        <w:top w:val="single" w:color="auto" w:sz="4" w:space="0"/>
        <w:left w:val="single" w:color="auto" w:sz="4" w:space="0"/>
      </w:pBdr>
      <w:spacing w:before="100" w:beforeAutospacing="1" w:after="100" w:afterAutospacing="1"/>
      <w:jc w:val="center"/>
    </w:pPr>
    <w:rPr>
      <w:rFonts w:eastAsia="Arial Unicode MS"/>
      <w:bCs w:val="0"/>
      <w:kern w:val="0"/>
    </w:rPr>
  </w:style>
  <w:style w:type="paragraph" w:customStyle="1" w:styleId="335">
    <w:name w:val="xl61"/>
    <w:basedOn w:val="1"/>
    <w:qFormat/>
    <w:uiPriority w:val="0"/>
    <w:pPr>
      <w:widowControl/>
      <w:pBdr>
        <w:top w:val="single" w:color="auto" w:sz="4" w:space="0"/>
      </w:pBdr>
      <w:spacing w:before="100" w:beforeAutospacing="1" w:after="100" w:afterAutospacing="1"/>
      <w:jc w:val="center"/>
    </w:pPr>
    <w:rPr>
      <w:rFonts w:eastAsia="Arial Unicode MS"/>
      <w:bCs w:val="0"/>
      <w:kern w:val="0"/>
    </w:rPr>
  </w:style>
  <w:style w:type="paragraph" w:customStyle="1" w:styleId="336">
    <w:name w:val="xl62"/>
    <w:basedOn w:val="1"/>
    <w:qFormat/>
    <w:uiPriority w:val="0"/>
    <w:pPr>
      <w:widowControl/>
      <w:pBdr>
        <w:top w:val="single" w:color="auto" w:sz="4" w:space="0"/>
        <w:right w:val="single" w:color="auto" w:sz="4" w:space="0"/>
      </w:pBdr>
      <w:spacing w:before="100" w:beforeAutospacing="1" w:after="100" w:afterAutospacing="1"/>
      <w:jc w:val="center"/>
    </w:pPr>
    <w:rPr>
      <w:rFonts w:eastAsia="Arial Unicode MS"/>
      <w:bCs w:val="0"/>
      <w:kern w:val="0"/>
    </w:rPr>
  </w:style>
  <w:style w:type="paragraph" w:customStyle="1" w:styleId="337">
    <w:name w:val="xl63"/>
    <w:basedOn w:val="1"/>
    <w:qFormat/>
    <w:uiPriority w:val="0"/>
    <w:pPr>
      <w:widowControl/>
      <w:pBdr>
        <w:left w:val="single" w:color="auto" w:sz="4" w:space="0"/>
        <w:bottom w:val="single" w:color="auto" w:sz="4" w:space="0"/>
      </w:pBdr>
      <w:spacing w:before="100" w:beforeAutospacing="1" w:after="100" w:afterAutospacing="1"/>
      <w:jc w:val="center"/>
    </w:pPr>
    <w:rPr>
      <w:rFonts w:eastAsia="Arial Unicode MS"/>
      <w:bCs w:val="0"/>
      <w:kern w:val="0"/>
    </w:rPr>
  </w:style>
  <w:style w:type="paragraph" w:customStyle="1" w:styleId="338">
    <w:name w:val="xl64"/>
    <w:basedOn w:val="1"/>
    <w:qFormat/>
    <w:uiPriority w:val="0"/>
    <w:pPr>
      <w:widowControl/>
      <w:pBdr>
        <w:bottom w:val="single" w:color="auto" w:sz="4" w:space="0"/>
      </w:pBdr>
      <w:spacing w:before="100" w:beforeAutospacing="1" w:after="100" w:afterAutospacing="1"/>
      <w:jc w:val="center"/>
    </w:pPr>
    <w:rPr>
      <w:rFonts w:eastAsia="Arial Unicode MS"/>
      <w:bCs w:val="0"/>
      <w:kern w:val="0"/>
    </w:rPr>
  </w:style>
  <w:style w:type="paragraph" w:customStyle="1" w:styleId="339">
    <w:name w:val="xl65"/>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bCs w:val="0"/>
      <w:kern w:val="0"/>
    </w:rPr>
  </w:style>
  <w:style w:type="paragraph" w:customStyle="1" w:styleId="3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41">
    <w:name w:val="批注主题 Char"/>
    <w:qFormat/>
    <w:uiPriority w:val="0"/>
    <w:rPr>
      <w:b/>
      <w:bCs/>
      <w:kern w:val="2"/>
      <w:sz w:val="21"/>
      <w:szCs w:val="24"/>
    </w:rPr>
  </w:style>
  <w:style w:type="paragraph" w:customStyle="1" w:styleId="342">
    <w:name w:val="页脚1"/>
    <w:basedOn w:val="1"/>
    <w:qFormat/>
    <w:uiPriority w:val="0"/>
    <w:pPr>
      <w:widowControl/>
      <w:tabs>
        <w:tab w:val="center" w:pos="4252"/>
        <w:tab w:val="right" w:pos="8504"/>
      </w:tabs>
    </w:pPr>
    <w:rPr>
      <w:rFonts w:ascii="Courier" w:hAnsi="Courier"/>
      <w:bCs w:val="0"/>
      <w:kern w:val="0"/>
      <w:szCs w:val="20"/>
      <w:lang w:val="it-IT" w:eastAsia="it-IT"/>
    </w:rPr>
  </w:style>
  <w:style w:type="character" w:customStyle="1" w:styleId="343">
    <w:name w:val="文档结构图 Char"/>
    <w:qFormat/>
    <w:uiPriority w:val="0"/>
    <w:rPr>
      <w:kern w:val="2"/>
      <w:sz w:val="21"/>
      <w:shd w:val="clear" w:color="auto" w:fill="000080"/>
    </w:rPr>
  </w:style>
  <w:style w:type="paragraph" w:customStyle="1" w:styleId="344">
    <w:name w:val="样式 样式 宋体 小四 行距: 1.5 倍行距 + 首行缩进:  2 字符"/>
    <w:basedOn w:val="1"/>
    <w:qFormat/>
    <w:uiPriority w:val="0"/>
    <w:pPr>
      <w:snapToGrid w:val="0"/>
    </w:pPr>
    <w:rPr>
      <w:rFonts w:ascii="宋体" w:hAnsi="宋体" w:cs="宋体"/>
      <w:bCs w:val="0"/>
      <w:szCs w:val="20"/>
    </w:rPr>
  </w:style>
  <w:style w:type="character" w:customStyle="1" w:styleId="345">
    <w:name w:val="无间隔 字符"/>
    <w:link w:val="90"/>
    <w:qFormat/>
    <w:locked/>
    <w:uiPriority w:val="0"/>
    <w:rPr>
      <w:rFonts w:ascii="Times New Roman" w:hAnsi="Times New Roman" w:eastAsia="宋体" w:cs="Times New Roman"/>
      <w:szCs w:val="20"/>
    </w:rPr>
  </w:style>
  <w:style w:type="paragraph" w:customStyle="1" w:styleId="346">
    <w:name w:val="样式 样式10 + 首行缩进:  2 字符"/>
    <w:basedOn w:val="1"/>
    <w:qFormat/>
    <w:uiPriority w:val="0"/>
    <w:pPr>
      <w:widowControl/>
      <w:adjustRightInd w:val="0"/>
      <w:snapToGrid w:val="0"/>
      <w:spacing w:line="420" w:lineRule="exact"/>
      <w:ind w:firstLine="480"/>
    </w:pPr>
    <w:rPr>
      <w:rFonts w:ascii="宋体" w:hAnsi="宋体" w:cs="宋体"/>
      <w:bCs w:val="0"/>
      <w:szCs w:val="20"/>
    </w:rPr>
  </w:style>
  <w:style w:type="paragraph" w:customStyle="1" w:styleId="347">
    <w:name w:val="表格标题2"/>
    <w:basedOn w:val="1"/>
    <w:qFormat/>
    <w:uiPriority w:val="0"/>
    <w:pPr>
      <w:keepNext/>
      <w:tabs>
        <w:tab w:val="center" w:pos="6832"/>
        <w:tab w:val="right" w:pos="13665"/>
      </w:tabs>
      <w:adjustRightInd w:val="0"/>
      <w:snapToGrid w:val="0"/>
      <w:spacing w:after="60" w:line="420" w:lineRule="exact"/>
      <w:ind w:firstLine="425"/>
      <w:jc w:val="center"/>
      <w:textAlignment w:val="baseline"/>
    </w:pPr>
    <w:rPr>
      <w:rFonts w:ascii="Arial" w:hAnsi="Arial"/>
      <w:bCs w:val="0"/>
      <w:snapToGrid w:val="0"/>
      <w:kern w:val="0"/>
    </w:rPr>
  </w:style>
  <w:style w:type="paragraph" w:customStyle="1" w:styleId="348">
    <w:name w:val="日期1"/>
    <w:basedOn w:val="1"/>
    <w:next w:val="1"/>
    <w:qFormat/>
    <w:uiPriority w:val="0"/>
    <w:pPr>
      <w:adjustRightInd w:val="0"/>
      <w:snapToGrid w:val="0"/>
      <w:spacing w:line="360" w:lineRule="atLeast"/>
    </w:pPr>
    <w:rPr>
      <w:bCs w:val="0"/>
      <w:snapToGrid w:val="0"/>
      <w:kern w:val="0"/>
    </w:rPr>
  </w:style>
  <w:style w:type="paragraph" w:customStyle="1" w:styleId="349">
    <w:name w:val="xl23"/>
    <w:basedOn w:val="1"/>
    <w:qFormat/>
    <w:uiPriority w:val="0"/>
    <w:pPr>
      <w:widowControl/>
      <w:pBdr>
        <w:bottom w:val="single" w:color="000000" w:sz="4" w:space="0"/>
        <w:right w:val="single" w:color="000000" w:sz="4" w:space="0"/>
      </w:pBdr>
      <w:snapToGrid w:val="0"/>
      <w:spacing w:before="100" w:beforeAutospacing="1" w:after="100" w:afterAutospacing="1"/>
      <w:textAlignment w:val="center"/>
    </w:pPr>
    <w:rPr>
      <w:rFonts w:ascii="宋体" w:hAnsi="宋体"/>
      <w:bCs w:val="0"/>
      <w:snapToGrid w:val="0"/>
      <w:kern w:val="0"/>
      <w:szCs w:val="21"/>
    </w:rPr>
  </w:style>
  <w:style w:type="paragraph" w:customStyle="1" w:styleId="350">
    <w:name w:val="样式 四号 行距: 1.5 倍行距1"/>
    <w:basedOn w:val="1"/>
    <w:qFormat/>
    <w:uiPriority w:val="0"/>
    <w:pPr>
      <w:widowControl/>
      <w:adjustRightInd w:val="0"/>
      <w:snapToGrid w:val="0"/>
      <w:spacing w:line="420" w:lineRule="exact"/>
      <w:ind w:firstLine="599" w:firstLineChars="214"/>
      <w:jc w:val="left"/>
    </w:pPr>
    <w:rPr>
      <w:snapToGrid w:val="0"/>
      <w:szCs w:val="28"/>
    </w:rPr>
  </w:style>
  <w:style w:type="character" w:customStyle="1" w:styleId="351">
    <w:name w:val="正文首行缩进11"/>
    <w:qFormat/>
    <w:uiPriority w:val="0"/>
    <w:rPr>
      <w:rFonts w:eastAsia="宋体"/>
      <w:kern w:val="2"/>
      <w:sz w:val="28"/>
      <w:szCs w:val="18"/>
      <w:lang w:val="en-US" w:eastAsia="zh-CN" w:bidi="ar-SA"/>
    </w:rPr>
  </w:style>
  <w:style w:type="paragraph" w:customStyle="1" w:styleId="352">
    <w:name w:val="正文文本 21"/>
    <w:basedOn w:val="1"/>
    <w:qFormat/>
    <w:uiPriority w:val="0"/>
    <w:pPr>
      <w:adjustRightInd w:val="0"/>
      <w:snapToGrid w:val="0"/>
      <w:jc w:val="center"/>
      <w:textAlignment w:val="baseline"/>
    </w:pPr>
    <w:rPr>
      <w:bCs w:val="0"/>
      <w:snapToGrid w:val="0"/>
      <w:kern w:val="0"/>
    </w:rPr>
  </w:style>
  <w:style w:type="paragraph" w:customStyle="1" w:styleId="353">
    <w:name w:val="xl66"/>
    <w:basedOn w:val="1"/>
    <w:qFormat/>
    <w:uiPriority w:val="0"/>
    <w:pPr>
      <w:widowControl/>
      <w:pBdr>
        <w:top w:val="single" w:color="auto" w:sz="4" w:space="0"/>
        <w:left w:val="single" w:color="auto" w:sz="8" w:space="0"/>
        <w:bottom w:val="single" w:color="auto" w:sz="4" w:space="0"/>
      </w:pBdr>
      <w:snapToGrid w:val="0"/>
      <w:spacing w:before="100" w:beforeAutospacing="1" w:after="100" w:afterAutospacing="1"/>
      <w:jc w:val="center"/>
      <w:textAlignment w:val="center"/>
    </w:pPr>
    <w:rPr>
      <w:rFonts w:ascii="Arial Unicode MS" w:hAnsi="Arial Unicode MS" w:eastAsia="Arial Unicode MS" w:cs="Arial Unicode MS"/>
      <w:bCs w:val="0"/>
      <w:snapToGrid w:val="0"/>
      <w:kern w:val="0"/>
    </w:rPr>
  </w:style>
  <w:style w:type="paragraph" w:customStyle="1" w:styleId="354">
    <w:name w:val="Blocksatz"/>
    <w:basedOn w:val="1"/>
    <w:qFormat/>
    <w:uiPriority w:val="0"/>
    <w:pPr>
      <w:widowControl/>
      <w:snapToGrid w:val="0"/>
      <w:spacing w:before="120" w:after="120"/>
      <w:ind w:left="851"/>
    </w:pPr>
    <w:rPr>
      <w:rFonts w:ascii="Univers" w:hAnsi="Univers"/>
      <w:bCs w:val="0"/>
      <w:snapToGrid w:val="0"/>
      <w:kern w:val="0"/>
      <w:sz w:val="22"/>
      <w:lang w:val="en-GB" w:eastAsia="de-DE"/>
    </w:rPr>
  </w:style>
  <w:style w:type="paragraph" w:customStyle="1" w:styleId="355">
    <w:name w:val="4"/>
    <w:basedOn w:val="1"/>
    <w:next w:val="40"/>
    <w:qFormat/>
    <w:uiPriority w:val="0"/>
    <w:pPr>
      <w:snapToGrid w:val="0"/>
      <w:spacing w:line="500" w:lineRule="exact"/>
      <w:ind w:firstLine="560"/>
    </w:pPr>
    <w:rPr>
      <w:rFonts w:ascii="宋体" w:hAnsi="宋体"/>
      <w:bCs w:val="0"/>
      <w:snapToGrid w:val="0"/>
    </w:rPr>
  </w:style>
  <w:style w:type="paragraph" w:customStyle="1" w:styleId="356">
    <w:name w:val="正文文本缩进1"/>
    <w:basedOn w:val="1"/>
    <w:qFormat/>
    <w:uiPriority w:val="0"/>
    <w:pPr>
      <w:adjustRightInd w:val="0"/>
      <w:snapToGrid w:val="0"/>
      <w:ind w:firstLine="600"/>
      <w:textAlignment w:val="baseline"/>
    </w:pPr>
    <w:rPr>
      <w:bCs w:val="0"/>
      <w:snapToGrid w:val="0"/>
      <w:kern w:val="0"/>
      <w:szCs w:val="28"/>
    </w:rPr>
  </w:style>
  <w:style w:type="paragraph" w:customStyle="1" w:styleId="357">
    <w:name w:val="表中文字"/>
    <w:basedOn w:val="1"/>
    <w:qFormat/>
    <w:uiPriority w:val="0"/>
    <w:pPr>
      <w:autoSpaceDE w:val="0"/>
      <w:autoSpaceDN w:val="0"/>
      <w:adjustRightInd w:val="0"/>
      <w:snapToGrid w:val="0"/>
      <w:jc w:val="center"/>
      <w:textAlignment w:val="baseline"/>
    </w:pPr>
    <w:rPr>
      <w:rFonts w:ascii="宋体"/>
      <w:bCs w:val="0"/>
      <w:snapToGrid w:val="0"/>
      <w:kern w:val="0"/>
    </w:rPr>
  </w:style>
  <w:style w:type="paragraph" w:customStyle="1" w:styleId="358">
    <w:name w:val="mm"/>
    <w:basedOn w:val="1"/>
    <w:qFormat/>
    <w:uiPriority w:val="0"/>
    <w:pPr>
      <w:adjustRightInd w:val="0"/>
      <w:snapToGrid w:val="0"/>
      <w:spacing w:line="360" w:lineRule="atLeast"/>
      <w:ind w:right="1320" w:firstLine="600"/>
      <w:jc w:val="left"/>
      <w:textAlignment w:val="baseline"/>
    </w:pPr>
    <w:rPr>
      <w:bCs w:val="0"/>
      <w:snapToGrid w:val="0"/>
      <w:kern w:val="0"/>
    </w:rPr>
  </w:style>
  <w:style w:type="paragraph" w:customStyle="1" w:styleId="359">
    <w:name w:val="标准"/>
    <w:basedOn w:val="1"/>
    <w:qFormat/>
    <w:uiPriority w:val="0"/>
    <w:pPr>
      <w:adjustRightInd w:val="0"/>
      <w:snapToGrid w:val="0"/>
      <w:spacing w:line="312" w:lineRule="atLeast"/>
      <w:textAlignment w:val="baseline"/>
    </w:pPr>
    <w:rPr>
      <w:bCs w:val="0"/>
      <w:snapToGrid w:val="0"/>
      <w:kern w:val="0"/>
    </w:rPr>
  </w:style>
  <w:style w:type="paragraph" w:customStyle="1" w:styleId="360">
    <w:name w:val="_vaiStandard"/>
    <w:qFormat/>
    <w:uiPriority w:val="0"/>
    <w:pPr>
      <w:spacing w:before="120" w:after="120" w:line="360" w:lineRule="auto"/>
      <w:ind w:left="1134"/>
      <w:jc w:val="both"/>
    </w:pPr>
    <w:rPr>
      <w:rFonts w:ascii="Arial" w:hAnsi="Arial" w:eastAsia="宋体" w:cs="Times New Roman"/>
      <w:sz w:val="22"/>
      <w:lang w:val="en-US" w:eastAsia="en-US" w:bidi="ar-SA"/>
    </w:rPr>
  </w:style>
  <w:style w:type="paragraph" w:customStyle="1" w:styleId="361">
    <w:name w:val="TechnDaten0"/>
    <w:basedOn w:val="1"/>
    <w:qFormat/>
    <w:uiPriority w:val="0"/>
    <w:pPr>
      <w:widowControl/>
      <w:tabs>
        <w:tab w:val="left" w:pos="432"/>
        <w:tab w:val="right" w:pos="6912"/>
        <w:tab w:val="left" w:pos="7056"/>
      </w:tabs>
      <w:snapToGrid w:val="0"/>
      <w:spacing w:line="240" w:lineRule="atLeast"/>
      <w:jc w:val="left"/>
    </w:pPr>
    <w:rPr>
      <w:rFonts w:ascii="Arial" w:hAnsi="Arial"/>
      <w:bCs w:val="0"/>
      <w:snapToGrid w:val="0"/>
      <w:kern w:val="0"/>
      <w:sz w:val="22"/>
      <w:lang w:val="de-DE" w:eastAsia="fr-FR"/>
    </w:rPr>
  </w:style>
  <w:style w:type="paragraph" w:customStyle="1" w:styleId="362">
    <w:name w:val="CM13"/>
    <w:basedOn w:val="1"/>
    <w:next w:val="1"/>
    <w:qFormat/>
    <w:uiPriority w:val="0"/>
    <w:pPr>
      <w:autoSpaceDE w:val="0"/>
      <w:autoSpaceDN w:val="0"/>
      <w:adjustRightInd w:val="0"/>
      <w:snapToGrid w:val="0"/>
      <w:spacing w:line="383" w:lineRule="atLeast"/>
      <w:jc w:val="left"/>
    </w:pPr>
    <w:rPr>
      <w:rFonts w:ascii="Arial" w:hAnsi="Arial"/>
      <w:bCs w:val="0"/>
      <w:snapToGrid w:val="0"/>
      <w:kern w:val="0"/>
    </w:rPr>
  </w:style>
  <w:style w:type="paragraph" w:customStyle="1" w:styleId="363">
    <w:name w:val="CM15"/>
    <w:basedOn w:val="1"/>
    <w:next w:val="1"/>
    <w:qFormat/>
    <w:uiPriority w:val="0"/>
    <w:pPr>
      <w:autoSpaceDE w:val="0"/>
      <w:autoSpaceDN w:val="0"/>
      <w:adjustRightInd w:val="0"/>
      <w:snapToGrid w:val="0"/>
      <w:spacing w:line="380" w:lineRule="atLeast"/>
      <w:jc w:val="left"/>
    </w:pPr>
    <w:rPr>
      <w:rFonts w:ascii="Arial" w:hAnsi="Arial"/>
      <w:bCs w:val="0"/>
      <w:snapToGrid w:val="0"/>
      <w:kern w:val="0"/>
    </w:rPr>
  </w:style>
  <w:style w:type="paragraph" w:customStyle="1" w:styleId="364">
    <w:name w:val="CM16"/>
    <w:basedOn w:val="1"/>
    <w:next w:val="1"/>
    <w:qFormat/>
    <w:uiPriority w:val="0"/>
    <w:pPr>
      <w:autoSpaceDE w:val="0"/>
      <w:autoSpaceDN w:val="0"/>
      <w:adjustRightInd w:val="0"/>
      <w:snapToGrid w:val="0"/>
      <w:spacing w:line="383" w:lineRule="atLeast"/>
      <w:jc w:val="left"/>
    </w:pPr>
    <w:rPr>
      <w:rFonts w:ascii="Arial" w:hAnsi="Arial"/>
      <w:bCs w:val="0"/>
      <w:snapToGrid w:val="0"/>
      <w:kern w:val="0"/>
    </w:rPr>
  </w:style>
  <w:style w:type="paragraph" w:customStyle="1" w:styleId="365">
    <w:name w:val="CM26"/>
    <w:basedOn w:val="1"/>
    <w:next w:val="1"/>
    <w:qFormat/>
    <w:uiPriority w:val="0"/>
    <w:pPr>
      <w:autoSpaceDE w:val="0"/>
      <w:autoSpaceDN w:val="0"/>
      <w:adjustRightInd w:val="0"/>
      <w:snapToGrid w:val="0"/>
      <w:spacing w:line="366" w:lineRule="atLeast"/>
      <w:jc w:val="left"/>
    </w:pPr>
    <w:rPr>
      <w:rFonts w:ascii="Arial" w:hAnsi="Arial"/>
      <w:bCs w:val="0"/>
      <w:snapToGrid w:val="0"/>
      <w:kern w:val="0"/>
    </w:rPr>
  </w:style>
  <w:style w:type="paragraph" w:customStyle="1" w:styleId="366">
    <w:name w:val="CM33"/>
    <w:basedOn w:val="1"/>
    <w:next w:val="1"/>
    <w:qFormat/>
    <w:uiPriority w:val="0"/>
    <w:pPr>
      <w:autoSpaceDE w:val="0"/>
      <w:autoSpaceDN w:val="0"/>
      <w:adjustRightInd w:val="0"/>
      <w:snapToGrid w:val="0"/>
      <w:spacing w:after="420"/>
      <w:jc w:val="left"/>
    </w:pPr>
    <w:rPr>
      <w:rFonts w:ascii="Arial" w:hAnsi="Arial"/>
      <w:bCs w:val="0"/>
      <w:snapToGrid w:val="0"/>
      <w:kern w:val="0"/>
    </w:rPr>
  </w:style>
  <w:style w:type="paragraph" w:customStyle="1" w:styleId="367">
    <w:name w:val="CM34"/>
    <w:basedOn w:val="1"/>
    <w:next w:val="1"/>
    <w:qFormat/>
    <w:uiPriority w:val="0"/>
    <w:pPr>
      <w:autoSpaceDE w:val="0"/>
      <w:autoSpaceDN w:val="0"/>
      <w:adjustRightInd w:val="0"/>
      <w:snapToGrid w:val="0"/>
      <w:spacing w:after="170"/>
      <w:jc w:val="left"/>
    </w:pPr>
    <w:rPr>
      <w:rFonts w:ascii="Arial" w:hAnsi="Arial"/>
      <w:bCs w:val="0"/>
      <w:snapToGrid w:val="0"/>
      <w:kern w:val="0"/>
    </w:rPr>
  </w:style>
  <w:style w:type="paragraph" w:customStyle="1" w:styleId="368">
    <w:name w:val="CM36"/>
    <w:basedOn w:val="1"/>
    <w:next w:val="1"/>
    <w:qFormat/>
    <w:uiPriority w:val="0"/>
    <w:pPr>
      <w:autoSpaceDE w:val="0"/>
      <w:autoSpaceDN w:val="0"/>
      <w:adjustRightInd w:val="0"/>
      <w:snapToGrid w:val="0"/>
      <w:spacing w:after="498"/>
      <w:jc w:val="left"/>
    </w:pPr>
    <w:rPr>
      <w:rFonts w:ascii="Arial" w:hAnsi="Arial"/>
      <w:bCs w:val="0"/>
      <w:snapToGrid w:val="0"/>
      <w:kern w:val="0"/>
    </w:rPr>
  </w:style>
  <w:style w:type="paragraph" w:customStyle="1" w:styleId="369">
    <w:name w:val="CM38"/>
    <w:basedOn w:val="1"/>
    <w:next w:val="1"/>
    <w:qFormat/>
    <w:uiPriority w:val="0"/>
    <w:pPr>
      <w:autoSpaceDE w:val="0"/>
      <w:autoSpaceDN w:val="0"/>
      <w:adjustRightInd w:val="0"/>
      <w:snapToGrid w:val="0"/>
      <w:spacing w:after="315"/>
      <w:jc w:val="left"/>
    </w:pPr>
    <w:rPr>
      <w:rFonts w:ascii="Arial" w:hAnsi="Arial"/>
      <w:bCs w:val="0"/>
      <w:snapToGrid w:val="0"/>
      <w:kern w:val="0"/>
    </w:rPr>
  </w:style>
  <w:style w:type="paragraph" w:customStyle="1" w:styleId="370">
    <w:name w:val="CM51"/>
    <w:basedOn w:val="1"/>
    <w:next w:val="1"/>
    <w:qFormat/>
    <w:uiPriority w:val="0"/>
    <w:pPr>
      <w:autoSpaceDE w:val="0"/>
      <w:autoSpaceDN w:val="0"/>
      <w:adjustRightInd w:val="0"/>
      <w:snapToGrid w:val="0"/>
      <w:spacing w:after="720"/>
      <w:jc w:val="left"/>
    </w:pPr>
    <w:rPr>
      <w:rFonts w:ascii="Arial" w:hAnsi="Arial"/>
      <w:bCs w:val="0"/>
      <w:snapToGrid w:val="0"/>
      <w:kern w:val="0"/>
    </w:rPr>
  </w:style>
  <w:style w:type="paragraph" w:customStyle="1" w:styleId="371">
    <w:name w:val="CM52"/>
    <w:basedOn w:val="1"/>
    <w:next w:val="1"/>
    <w:qFormat/>
    <w:uiPriority w:val="0"/>
    <w:pPr>
      <w:autoSpaceDE w:val="0"/>
      <w:autoSpaceDN w:val="0"/>
      <w:adjustRightInd w:val="0"/>
      <w:snapToGrid w:val="0"/>
      <w:spacing w:after="878"/>
      <w:jc w:val="left"/>
    </w:pPr>
    <w:rPr>
      <w:rFonts w:ascii="Arial" w:hAnsi="Arial"/>
      <w:bCs w:val="0"/>
      <w:snapToGrid w:val="0"/>
      <w:kern w:val="0"/>
    </w:rPr>
  </w:style>
  <w:style w:type="paragraph" w:customStyle="1" w:styleId="372">
    <w:name w:val="CM45"/>
    <w:basedOn w:val="1"/>
    <w:next w:val="1"/>
    <w:qFormat/>
    <w:uiPriority w:val="0"/>
    <w:pPr>
      <w:autoSpaceDE w:val="0"/>
      <w:autoSpaceDN w:val="0"/>
      <w:adjustRightInd w:val="0"/>
      <w:snapToGrid w:val="0"/>
      <w:spacing w:after="75"/>
      <w:jc w:val="left"/>
    </w:pPr>
    <w:rPr>
      <w:rFonts w:ascii="Arial" w:hAnsi="Arial"/>
      <w:bCs w:val="0"/>
      <w:snapToGrid w:val="0"/>
      <w:kern w:val="0"/>
    </w:rPr>
  </w:style>
  <w:style w:type="paragraph" w:customStyle="1" w:styleId="373">
    <w:name w:val="CM53"/>
    <w:basedOn w:val="1"/>
    <w:next w:val="1"/>
    <w:qFormat/>
    <w:uiPriority w:val="0"/>
    <w:pPr>
      <w:autoSpaceDE w:val="0"/>
      <w:autoSpaceDN w:val="0"/>
      <w:adjustRightInd w:val="0"/>
      <w:snapToGrid w:val="0"/>
      <w:spacing w:after="1258"/>
      <w:jc w:val="left"/>
    </w:pPr>
    <w:rPr>
      <w:rFonts w:ascii="Arial" w:hAnsi="Arial"/>
      <w:bCs w:val="0"/>
      <w:snapToGrid w:val="0"/>
      <w:kern w:val="0"/>
    </w:rPr>
  </w:style>
  <w:style w:type="paragraph" w:customStyle="1" w:styleId="374">
    <w:name w:val="CM40"/>
    <w:basedOn w:val="340"/>
    <w:next w:val="340"/>
    <w:qFormat/>
    <w:uiPriority w:val="0"/>
    <w:pPr>
      <w:spacing w:after="240"/>
    </w:pPr>
    <w:rPr>
      <w:rFonts w:ascii="Arial" w:hAnsi="Arial" w:cs="Times New Roman"/>
      <w:color w:val="auto"/>
    </w:rPr>
  </w:style>
  <w:style w:type="paragraph" w:customStyle="1" w:styleId="375">
    <w:name w:val="CM21"/>
    <w:basedOn w:val="340"/>
    <w:next w:val="340"/>
    <w:qFormat/>
    <w:uiPriority w:val="0"/>
    <w:pPr>
      <w:spacing w:line="380" w:lineRule="atLeast"/>
    </w:pPr>
    <w:rPr>
      <w:rFonts w:ascii="Arial" w:hAnsi="Arial" w:cs="Times New Roman"/>
      <w:color w:val="auto"/>
    </w:rPr>
  </w:style>
  <w:style w:type="paragraph" w:customStyle="1" w:styleId="376">
    <w:name w:val="CM43"/>
    <w:basedOn w:val="340"/>
    <w:next w:val="340"/>
    <w:qFormat/>
    <w:uiPriority w:val="0"/>
    <w:pPr>
      <w:spacing w:after="92"/>
    </w:pPr>
    <w:rPr>
      <w:rFonts w:ascii="Arial" w:hAnsi="Arial" w:cs="Times New Roman"/>
      <w:color w:val="auto"/>
    </w:rPr>
  </w:style>
  <w:style w:type="paragraph" w:customStyle="1" w:styleId="377">
    <w:name w:val="CM47"/>
    <w:basedOn w:val="340"/>
    <w:next w:val="340"/>
    <w:qFormat/>
    <w:uiPriority w:val="0"/>
    <w:pPr>
      <w:spacing w:after="4308"/>
    </w:pPr>
    <w:rPr>
      <w:rFonts w:ascii="Arial" w:hAnsi="Arial" w:cs="Times New Roman"/>
      <w:color w:val="auto"/>
    </w:rPr>
  </w:style>
  <w:style w:type="paragraph" w:customStyle="1" w:styleId="378">
    <w:name w:val="CM35"/>
    <w:basedOn w:val="340"/>
    <w:next w:val="340"/>
    <w:qFormat/>
    <w:uiPriority w:val="0"/>
    <w:pPr>
      <w:spacing w:after="595"/>
    </w:pPr>
    <w:rPr>
      <w:rFonts w:ascii="Arial" w:hAnsi="Arial" w:cs="Times New Roman"/>
      <w:color w:val="auto"/>
    </w:rPr>
  </w:style>
  <w:style w:type="paragraph" w:customStyle="1" w:styleId="379">
    <w:name w:val="CM37"/>
    <w:basedOn w:val="340"/>
    <w:next w:val="340"/>
    <w:qFormat/>
    <w:uiPriority w:val="0"/>
    <w:pPr>
      <w:spacing w:after="808"/>
    </w:pPr>
    <w:rPr>
      <w:rFonts w:ascii="Arial" w:hAnsi="Arial" w:cs="Times New Roman"/>
      <w:color w:val="auto"/>
    </w:rPr>
  </w:style>
  <w:style w:type="paragraph" w:customStyle="1" w:styleId="380">
    <w:name w:val="CM17"/>
    <w:basedOn w:val="340"/>
    <w:next w:val="340"/>
    <w:qFormat/>
    <w:uiPriority w:val="0"/>
    <w:pPr>
      <w:spacing w:line="386" w:lineRule="atLeast"/>
    </w:pPr>
    <w:rPr>
      <w:rFonts w:ascii="Arial" w:hAnsi="Arial" w:cs="Times New Roman"/>
      <w:color w:val="auto"/>
    </w:rPr>
  </w:style>
  <w:style w:type="paragraph" w:customStyle="1" w:styleId="381">
    <w:name w:val="CM22"/>
    <w:basedOn w:val="340"/>
    <w:next w:val="340"/>
    <w:qFormat/>
    <w:uiPriority w:val="0"/>
    <w:pPr>
      <w:spacing w:line="383" w:lineRule="atLeast"/>
    </w:pPr>
    <w:rPr>
      <w:rFonts w:ascii="Arial" w:hAnsi="Arial" w:cs="Times New Roman"/>
      <w:color w:val="auto"/>
    </w:rPr>
  </w:style>
  <w:style w:type="paragraph" w:customStyle="1" w:styleId="382">
    <w:name w:val="样式 标题 3 + 段前: 0.25 行 段后: 0.25 行"/>
    <w:basedOn w:val="4"/>
    <w:qFormat/>
    <w:uiPriority w:val="0"/>
    <w:pPr>
      <w:widowControl/>
      <w:numPr>
        <w:ilvl w:val="0"/>
        <w:numId w:val="0"/>
      </w:numPr>
      <w:tabs>
        <w:tab w:val="left" w:pos="240"/>
      </w:tabs>
      <w:snapToGrid w:val="0"/>
      <w:spacing w:before="25" w:beforeLines="25" w:after="25" w:afterLines="25" w:line="440" w:lineRule="exact"/>
      <w:ind w:left="709" w:hanging="709"/>
      <w:jc w:val="left"/>
    </w:pPr>
    <w:rPr>
      <w:rFonts w:ascii="Arial Unicode MS" w:hAnsi="Arial Unicode MS" w:cs="宋体"/>
      <w:bCs/>
      <w:snapToGrid w:val="0"/>
      <w:kern w:val="0"/>
      <w:szCs w:val="24"/>
      <w:lang w:val="zh-CN"/>
    </w:rPr>
  </w:style>
  <w:style w:type="paragraph" w:customStyle="1" w:styleId="383">
    <w:name w:val="段落"/>
    <w:basedOn w:val="1"/>
    <w:qFormat/>
    <w:uiPriority w:val="0"/>
    <w:pPr>
      <w:widowControl/>
      <w:tabs>
        <w:tab w:val="left" w:pos="-2127"/>
        <w:tab w:val="left" w:pos="0"/>
        <w:tab w:val="left" w:pos="567"/>
      </w:tabs>
      <w:autoSpaceDE w:val="0"/>
      <w:autoSpaceDN w:val="0"/>
      <w:adjustRightInd w:val="0"/>
      <w:snapToGrid w:val="0"/>
      <w:spacing w:line="348" w:lineRule="auto"/>
      <w:textAlignment w:val="bottom"/>
    </w:pPr>
    <w:rPr>
      <w:rFonts w:ascii="宋体"/>
      <w:bCs w:val="0"/>
      <w:snapToGrid w:val="0"/>
      <w:kern w:val="0"/>
    </w:rPr>
  </w:style>
  <w:style w:type="paragraph" w:customStyle="1" w:styleId="384">
    <w:name w:val="Carac. gen."/>
    <w:basedOn w:val="1"/>
    <w:qFormat/>
    <w:uiPriority w:val="0"/>
    <w:pPr>
      <w:tabs>
        <w:tab w:val="left" w:pos="567"/>
        <w:tab w:val="left" w:pos="1226"/>
        <w:tab w:val="left" w:pos="4536"/>
      </w:tabs>
      <w:snapToGrid w:val="0"/>
      <w:ind w:left="1226" w:hanging="420"/>
      <w:jc w:val="left"/>
    </w:pPr>
    <w:rPr>
      <w:rFonts w:ascii="Arial" w:hAnsi="Arial"/>
      <w:bCs w:val="0"/>
      <w:snapToGrid w:val="0"/>
      <w:kern w:val="0"/>
      <w:lang w:eastAsia="en-US"/>
    </w:rPr>
  </w:style>
  <w:style w:type="paragraph" w:customStyle="1" w:styleId="385">
    <w:name w:val="text3"/>
    <w:basedOn w:val="1"/>
    <w:qFormat/>
    <w:uiPriority w:val="0"/>
    <w:pPr>
      <w:widowControl/>
      <w:tabs>
        <w:tab w:val="left" w:pos="1080"/>
        <w:tab w:val="left" w:pos="1255"/>
      </w:tabs>
      <w:snapToGrid w:val="0"/>
      <w:spacing w:before="120"/>
      <w:ind w:left="1426" w:hanging="288"/>
    </w:pPr>
    <w:rPr>
      <w:rFonts w:ascii="Arial" w:hAnsi="Arial"/>
      <w:bCs w:val="0"/>
      <w:snapToGrid w:val="0"/>
      <w:kern w:val="0"/>
      <w:sz w:val="22"/>
      <w:lang w:val="de-DE" w:eastAsia="en-US"/>
    </w:rPr>
  </w:style>
  <w:style w:type="paragraph" w:customStyle="1" w:styleId="386">
    <w:name w:val="_vaiNumbered"/>
    <w:basedOn w:val="1"/>
    <w:qFormat/>
    <w:uiPriority w:val="0"/>
    <w:pPr>
      <w:widowControl/>
      <w:tabs>
        <w:tab w:val="left" w:pos="1494"/>
      </w:tabs>
      <w:snapToGrid w:val="0"/>
      <w:spacing w:line="288" w:lineRule="auto"/>
      <w:ind w:left="1474" w:hanging="340"/>
      <w:jc w:val="left"/>
    </w:pPr>
    <w:rPr>
      <w:rFonts w:ascii="Arial" w:hAnsi="Arial"/>
      <w:bCs w:val="0"/>
      <w:snapToGrid w:val="0"/>
      <w:kern w:val="0"/>
      <w:sz w:val="22"/>
      <w:lang w:eastAsia="en-US"/>
    </w:rPr>
  </w:style>
  <w:style w:type="paragraph" w:customStyle="1" w:styleId="387">
    <w:name w:val="刘广文"/>
    <w:basedOn w:val="1"/>
    <w:qFormat/>
    <w:uiPriority w:val="0"/>
    <w:pPr>
      <w:tabs>
        <w:tab w:val="left" w:pos="961"/>
      </w:tabs>
      <w:snapToGrid w:val="0"/>
      <w:ind w:left="961" w:hanging="360"/>
    </w:pPr>
    <w:rPr>
      <w:bCs w:val="0"/>
      <w:snapToGrid w:val="0"/>
    </w:rPr>
  </w:style>
  <w:style w:type="paragraph" w:customStyle="1" w:styleId="388">
    <w:name w:val="tit"/>
    <w:basedOn w:val="1"/>
    <w:qFormat/>
    <w:uiPriority w:val="0"/>
    <w:pPr>
      <w:snapToGrid w:val="0"/>
      <w:spacing w:line="420" w:lineRule="exact"/>
      <w:jc w:val="center"/>
    </w:pPr>
    <w:rPr>
      <w:rFonts w:ascii="宋体" w:hAnsi="宋体"/>
      <w:bCs w:val="0"/>
      <w:snapToGrid w:val="0"/>
    </w:rPr>
  </w:style>
  <w:style w:type="paragraph" w:customStyle="1" w:styleId="389">
    <w:name w:val="表格1"/>
    <w:basedOn w:val="1"/>
    <w:qFormat/>
    <w:uiPriority w:val="0"/>
    <w:pPr>
      <w:snapToGrid w:val="0"/>
      <w:jc w:val="center"/>
    </w:pPr>
    <w:rPr>
      <w:bCs w:val="0"/>
      <w:snapToGrid w:val="0"/>
    </w:rPr>
  </w:style>
  <w:style w:type="paragraph" w:customStyle="1" w:styleId="390">
    <w:name w:val="Char Char Char Char Char Char Char Char Char Char Char Char Char Char Char Char Char Char Char Char Char Char Char Char Char Char Char Char Char Char Char Char Char Char Char Char Char Char Char Char1"/>
    <w:basedOn w:val="1"/>
    <w:qFormat/>
    <w:uiPriority w:val="0"/>
    <w:pPr>
      <w:tabs>
        <w:tab w:val="left" w:pos="360"/>
      </w:tabs>
    </w:pPr>
    <w:rPr>
      <w:rFonts w:ascii="楷体_GB2312" w:eastAsia="楷体_GB2312"/>
      <w:bCs w:val="0"/>
    </w:rPr>
  </w:style>
  <w:style w:type="paragraph" w:customStyle="1" w:styleId="391">
    <w:name w:val="样式 标题 4 + 宋体 行距: 单倍行距"/>
    <w:basedOn w:val="5"/>
    <w:qFormat/>
    <w:uiPriority w:val="0"/>
    <w:pPr>
      <w:numPr>
        <w:ilvl w:val="0"/>
        <w:numId w:val="0"/>
      </w:numPr>
      <w:tabs>
        <w:tab w:val="left" w:pos="-36"/>
      </w:tabs>
      <w:autoSpaceDE w:val="0"/>
      <w:autoSpaceDN w:val="0"/>
      <w:adjustRightInd w:val="0"/>
      <w:spacing w:before="280" w:beforeLines="0" w:after="290" w:afterLines="0" w:line="500" w:lineRule="exact"/>
      <w:ind w:left="-36" w:hanging="864"/>
      <w:jc w:val="left"/>
      <w:textAlignment w:val="baseline"/>
    </w:pPr>
    <w:rPr>
      <w:rFonts w:ascii="宋体" w:hAnsi="宋体" w:eastAsia="宋体" w:cs="Times New Roman"/>
      <w:kern w:val="28"/>
      <w:position w:val="-6"/>
      <w:szCs w:val="20"/>
      <w:lang w:val="zh-CN"/>
    </w:rPr>
  </w:style>
  <w:style w:type="paragraph" w:customStyle="1" w:styleId="392">
    <w:name w:val="xl67"/>
    <w:basedOn w:val="1"/>
    <w:qFormat/>
    <w:uiPriority w:val="0"/>
    <w:pPr>
      <w:widowControl/>
      <w:spacing w:before="100" w:beforeAutospacing="1" w:after="100" w:afterAutospacing="1"/>
      <w:jc w:val="center"/>
    </w:pPr>
    <w:rPr>
      <w:bCs w:val="0"/>
      <w:kern w:val="0"/>
    </w:rPr>
  </w:style>
  <w:style w:type="paragraph" w:customStyle="1" w:styleId="39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Cs w:val="0"/>
      <w:kern w:val="0"/>
    </w:rPr>
  </w:style>
  <w:style w:type="paragraph" w:customStyle="1" w:styleId="394">
    <w:name w:val="xl69"/>
    <w:basedOn w:val="1"/>
    <w:qFormat/>
    <w:uiPriority w:val="0"/>
    <w:pPr>
      <w:widowControl/>
      <w:spacing w:before="100" w:beforeAutospacing="1" w:after="100" w:afterAutospacing="1"/>
      <w:jc w:val="left"/>
    </w:pPr>
    <w:rPr>
      <w:b/>
      <w:kern w:val="0"/>
    </w:rPr>
  </w:style>
  <w:style w:type="paragraph" w:customStyle="1" w:styleId="39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Cs w:val="0"/>
      <w:kern w:val="0"/>
    </w:rPr>
  </w:style>
  <w:style w:type="paragraph" w:customStyle="1" w:styleId="396">
    <w:name w:val="xl71"/>
    <w:basedOn w:val="1"/>
    <w:qFormat/>
    <w:uiPriority w:val="0"/>
    <w:pPr>
      <w:widowControl/>
      <w:spacing w:before="100" w:beforeAutospacing="1" w:after="100" w:afterAutospacing="1"/>
      <w:jc w:val="left"/>
    </w:pPr>
    <w:rPr>
      <w:bCs w:val="0"/>
      <w:kern w:val="0"/>
    </w:rPr>
  </w:style>
  <w:style w:type="paragraph" w:customStyle="1" w:styleId="397">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pPr>
    <w:rPr>
      <w:rFonts w:ascii="黑体" w:hAnsi="宋体" w:eastAsia="黑体" w:cs="宋体"/>
      <w:bCs w:val="0"/>
      <w:kern w:val="0"/>
    </w:rPr>
  </w:style>
  <w:style w:type="paragraph" w:customStyle="1" w:styleId="398">
    <w:name w:val="xl73"/>
    <w:basedOn w:val="1"/>
    <w:qFormat/>
    <w:uiPriority w:val="0"/>
    <w:pPr>
      <w:widowControl/>
      <w:pBdr>
        <w:left w:val="single" w:color="auto" w:sz="4" w:space="0"/>
        <w:right w:val="single" w:color="auto" w:sz="4" w:space="0"/>
      </w:pBdr>
      <w:spacing w:before="100" w:beforeAutospacing="1" w:after="100" w:afterAutospacing="1"/>
      <w:jc w:val="center"/>
    </w:pPr>
    <w:rPr>
      <w:bCs w:val="0"/>
      <w:kern w:val="0"/>
    </w:rPr>
  </w:style>
  <w:style w:type="paragraph" w:customStyle="1" w:styleId="399">
    <w:name w:val="xl74"/>
    <w:basedOn w:val="1"/>
    <w:qFormat/>
    <w:uiPriority w:val="0"/>
    <w:pPr>
      <w:widowControl/>
      <w:pBdr>
        <w:top w:val="single" w:color="auto" w:sz="8" w:space="0"/>
        <w:left w:val="single" w:color="auto" w:sz="8" w:space="0"/>
      </w:pBdr>
      <w:spacing w:before="100" w:beforeAutospacing="1" w:after="100" w:afterAutospacing="1"/>
      <w:jc w:val="center"/>
    </w:pPr>
    <w:rPr>
      <w:rFonts w:ascii="黑体" w:hAnsi="宋体" w:eastAsia="黑体" w:cs="宋体"/>
      <w:bCs w:val="0"/>
      <w:kern w:val="0"/>
    </w:rPr>
  </w:style>
  <w:style w:type="paragraph" w:customStyle="1" w:styleId="400">
    <w:name w:val="xl75"/>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pPr>
    <w:rPr>
      <w:rFonts w:ascii="黑体" w:hAnsi="宋体" w:eastAsia="黑体" w:cs="宋体"/>
      <w:bCs w:val="0"/>
      <w:kern w:val="0"/>
    </w:rPr>
  </w:style>
  <w:style w:type="paragraph" w:customStyle="1" w:styleId="401">
    <w:name w:val="xl76"/>
    <w:basedOn w:val="1"/>
    <w:qFormat/>
    <w:uiPriority w:val="0"/>
    <w:pPr>
      <w:widowControl/>
      <w:pBdr>
        <w:left w:val="single" w:color="auto" w:sz="8" w:space="0"/>
      </w:pBdr>
      <w:spacing w:before="100" w:beforeAutospacing="1" w:after="100" w:afterAutospacing="1"/>
      <w:jc w:val="center"/>
    </w:pPr>
    <w:rPr>
      <w:rFonts w:ascii="黑体" w:hAnsi="宋体" w:eastAsia="黑体" w:cs="宋体"/>
      <w:bCs w:val="0"/>
      <w:kern w:val="0"/>
    </w:rPr>
  </w:style>
  <w:style w:type="paragraph" w:customStyle="1" w:styleId="402">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黑体" w:hAnsi="宋体" w:eastAsia="黑体" w:cs="宋体"/>
      <w:bCs w:val="0"/>
      <w:kern w:val="0"/>
    </w:rPr>
  </w:style>
  <w:style w:type="paragraph" w:customStyle="1" w:styleId="403">
    <w:name w:val="xl78"/>
    <w:basedOn w:val="1"/>
    <w:qFormat/>
    <w:uiPriority w:val="0"/>
    <w:pPr>
      <w:widowControl/>
      <w:pBdr>
        <w:left w:val="single" w:color="auto" w:sz="4" w:space="0"/>
        <w:right w:val="single" w:color="auto" w:sz="8" w:space="0"/>
      </w:pBdr>
      <w:spacing w:before="100" w:beforeAutospacing="1" w:after="100" w:afterAutospacing="1"/>
      <w:jc w:val="center"/>
    </w:pPr>
    <w:rPr>
      <w:rFonts w:ascii="黑体" w:hAnsi="宋体" w:eastAsia="黑体" w:cs="宋体"/>
      <w:bCs w:val="0"/>
      <w:kern w:val="0"/>
    </w:rPr>
  </w:style>
  <w:style w:type="paragraph" w:customStyle="1" w:styleId="404">
    <w:name w:val="xl79"/>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05">
    <w:name w:val="xl8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06">
    <w:name w:val="xl81"/>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07">
    <w:name w:val="xl8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pPr>
    <w:rPr>
      <w:rFonts w:ascii="新宋体" w:hAnsi="新宋体" w:eastAsia="新宋体" w:cs="宋体"/>
      <w:bCs w:val="0"/>
      <w:kern w:val="0"/>
    </w:rPr>
  </w:style>
  <w:style w:type="paragraph" w:customStyle="1" w:styleId="408">
    <w:name w:val="xl8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09">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1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11">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12">
    <w:name w:val="xl8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Cs w:val="0"/>
      <w:kern w:val="0"/>
    </w:rPr>
  </w:style>
  <w:style w:type="paragraph" w:customStyle="1" w:styleId="413">
    <w:name w:val="xl8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 w:hAnsi="新宋体" w:eastAsia="新宋体" w:cs="宋体"/>
      <w:b/>
      <w:kern w:val="0"/>
    </w:rPr>
  </w:style>
  <w:style w:type="paragraph" w:customStyle="1" w:styleId="414">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kern w:val="0"/>
    </w:rPr>
  </w:style>
  <w:style w:type="paragraph" w:customStyle="1" w:styleId="41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1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1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1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1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Cs w:val="0"/>
      <w:kern w:val="0"/>
    </w:rPr>
  </w:style>
  <w:style w:type="paragraph" w:customStyle="1" w:styleId="42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21">
    <w:name w:val="xl9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Cs w:val="0"/>
      <w:kern w:val="0"/>
    </w:rPr>
  </w:style>
  <w:style w:type="paragraph" w:customStyle="1" w:styleId="422">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23">
    <w:name w:val="xl9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Cs w:val="0"/>
      <w:kern w:val="0"/>
    </w:rPr>
  </w:style>
  <w:style w:type="paragraph" w:customStyle="1" w:styleId="42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2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Cs w:val="0"/>
      <w:kern w:val="0"/>
    </w:rPr>
  </w:style>
  <w:style w:type="paragraph" w:customStyle="1" w:styleId="42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Cs w:val="0"/>
      <w:color w:val="FF0000"/>
      <w:kern w:val="0"/>
    </w:rPr>
  </w:style>
  <w:style w:type="paragraph" w:customStyle="1" w:styleId="427">
    <w:name w:val="xl10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Cs w:val="0"/>
      <w:color w:val="FF0000"/>
      <w:kern w:val="0"/>
    </w:rPr>
  </w:style>
  <w:style w:type="paragraph" w:customStyle="1" w:styleId="428">
    <w:name w:val="xl10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Cs w:val="0"/>
      <w:color w:val="0000FF"/>
      <w:kern w:val="0"/>
    </w:rPr>
  </w:style>
  <w:style w:type="paragraph" w:customStyle="1" w:styleId="429">
    <w:name w:val="xl10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Cs w:val="0"/>
      <w:color w:val="FF0000"/>
      <w:kern w:val="0"/>
    </w:rPr>
  </w:style>
  <w:style w:type="paragraph" w:customStyle="1" w:styleId="4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kern w:val="0"/>
    </w:rPr>
  </w:style>
  <w:style w:type="paragraph" w:customStyle="1" w:styleId="431">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
      <w:kern w:val="0"/>
    </w:rPr>
  </w:style>
  <w:style w:type="paragraph" w:customStyle="1" w:styleId="43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kern w:val="0"/>
    </w:rPr>
  </w:style>
  <w:style w:type="paragraph" w:customStyle="1" w:styleId="43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kern w:val="0"/>
    </w:rPr>
  </w:style>
  <w:style w:type="paragraph" w:customStyle="1" w:styleId="434">
    <w:name w:val="xl10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
      <w:kern w:val="0"/>
    </w:rPr>
  </w:style>
  <w:style w:type="paragraph" w:customStyle="1" w:styleId="435">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
      <w:kern w:val="0"/>
    </w:rPr>
  </w:style>
  <w:style w:type="paragraph" w:customStyle="1" w:styleId="43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kern w:val="0"/>
    </w:rPr>
  </w:style>
  <w:style w:type="paragraph" w:customStyle="1" w:styleId="43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kern w:val="0"/>
    </w:rPr>
  </w:style>
  <w:style w:type="paragraph" w:customStyle="1" w:styleId="438">
    <w:name w:val="xl11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
      <w:kern w:val="0"/>
    </w:rPr>
  </w:style>
  <w:style w:type="paragraph" w:customStyle="1" w:styleId="439">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4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Cs w:val="0"/>
      <w:kern w:val="0"/>
    </w:rPr>
  </w:style>
  <w:style w:type="paragraph" w:customStyle="1" w:styleId="441">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Cs w:val="0"/>
      <w:kern w:val="0"/>
    </w:rPr>
  </w:style>
  <w:style w:type="paragraph" w:customStyle="1" w:styleId="442">
    <w:name w:val="xl1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Cs w:val="0"/>
      <w:kern w:val="0"/>
    </w:rPr>
  </w:style>
  <w:style w:type="paragraph" w:customStyle="1" w:styleId="44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
      <w:kern w:val="0"/>
    </w:rPr>
  </w:style>
  <w:style w:type="paragraph" w:customStyle="1" w:styleId="444">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45">
    <w:name w:val="xl12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
      <w:kern w:val="0"/>
    </w:rPr>
  </w:style>
  <w:style w:type="paragraph" w:customStyle="1" w:styleId="446">
    <w:name w:val="xl12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47">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新宋体" w:hAnsi="新宋体" w:eastAsia="新宋体" w:cs="宋体"/>
      <w:bCs w:val="0"/>
      <w:kern w:val="0"/>
    </w:rPr>
  </w:style>
  <w:style w:type="paragraph" w:customStyle="1" w:styleId="448">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4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新宋体" w:hAnsi="新宋体" w:eastAsia="新宋体" w:cs="宋体"/>
      <w:bCs w:val="0"/>
      <w:kern w:val="0"/>
    </w:rPr>
  </w:style>
  <w:style w:type="paragraph" w:customStyle="1" w:styleId="450">
    <w:name w:val="xl12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
      <w:kern w:val="0"/>
    </w:rPr>
  </w:style>
  <w:style w:type="paragraph" w:customStyle="1" w:styleId="45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新宋体" w:hAnsi="新宋体" w:eastAsia="新宋体" w:cs="宋体"/>
      <w:b/>
      <w:kern w:val="0"/>
    </w:rPr>
  </w:style>
  <w:style w:type="paragraph" w:customStyle="1" w:styleId="452">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
      <w:kern w:val="0"/>
    </w:rPr>
  </w:style>
  <w:style w:type="paragraph" w:customStyle="1" w:styleId="45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新宋体" w:hAnsi="新宋体" w:eastAsia="新宋体" w:cs="宋体"/>
      <w:b/>
      <w:kern w:val="0"/>
    </w:rPr>
  </w:style>
  <w:style w:type="paragraph" w:customStyle="1" w:styleId="45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55">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5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
      <w:kern w:val="0"/>
    </w:rPr>
  </w:style>
  <w:style w:type="paragraph" w:customStyle="1" w:styleId="457">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
      <w:kern w:val="0"/>
    </w:rPr>
  </w:style>
  <w:style w:type="paragraph" w:customStyle="1" w:styleId="458">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59">
    <w:name w:val="xl134"/>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60">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6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62">
    <w:name w:val="xl13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bottom"/>
    </w:pPr>
    <w:rPr>
      <w:rFonts w:ascii="新宋体" w:hAnsi="新宋体" w:eastAsia="新宋体" w:cs="宋体"/>
      <w:bCs w:val="0"/>
      <w:kern w:val="0"/>
    </w:rPr>
  </w:style>
  <w:style w:type="paragraph" w:customStyle="1" w:styleId="463">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64">
    <w:name w:val="xl139"/>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65">
    <w:name w:val="xl14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66">
    <w:name w:val="xl14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67">
    <w:name w:val="xl142"/>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pPr>
    <w:rPr>
      <w:rFonts w:ascii="新宋体" w:hAnsi="新宋体" w:eastAsia="新宋体" w:cs="宋体"/>
      <w:bCs w:val="0"/>
      <w:kern w:val="0"/>
    </w:rPr>
  </w:style>
  <w:style w:type="paragraph" w:customStyle="1" w:styleId="468">
    <w:name w:val="xl143"/>
    <w:basedOn w:val="1"/>
    <w:qFormat/>
    <w:uiPriority w:val="0"/>
    <w:pPr>
      <w:widowControl/>
      <w:spacing w:before="100" w:beforeAutospacing="1" w:after="100" w:afterAutospacing="1"/>
      <w:jc w:val="center"/>
    </w:pPr>
    <w:rPr>
      <w:rFonts w:ascii="新宋体" w:hAnsi="新宋体" w:eastAsia="新宋体" w:cs="宋体"/>
      <w:bCs w:val="0"/>
      <w:kern w:val="0"/>
    </w:rPr>
  </w:style>
  <w:style w:type="paragraph" w:customStyle="1" w:styleId="469">
    <w:name w:val="xl144"/>
    <w:basedOn w:val="1"/>
    <w:qFormat/>
    <w:uiPriority w:val="0"/>
    <w:pPr>
      <w:widowControl/>
      <w:spacing w:before="100" w:beforeAutospacing="1" w:after="100" w:afterAutospacing="1"/>
      <w:jc w:val="right"/>
    </w:pPr>
    <w:rPr>
      <w:rFonts w:ascii="新宋体" w:hAnsi="新宋体" w:eastAsia="新宋体" w:cs="宋体"/>
      <w:bCs w:val="0"/>
      <w:kern w:val="0"/>
    </w:rPr>
  </w:style>
  <w:style w:type="paragraph" w:customStyle="1" w:styleId="470">
    <w:name w:val="xl145"/>
    <w:basedOn w:val="1"/>
    <w:qFormat/>
    <w:uiPriority w:val="0"/>
    <w:pPr>
      <w:widowControl/>
      <w:spacing w:before="100" w:beforeAutospacing="1" w:after="100" w:afterAutospacing="1"/>
      <w:jc w:val="left"/>
    </w:pPr>
    <w:rPr>
      <w:rFonts w:ascii="新宋体" w:hAnsi="新宋体" w:eastAsia="新宋体" w:cs="宋体"/>
      <w:bCs w:val="0"/>
      <w:kern w:val="0"/>
    </w:rPr>
  </w:style>
  <w:style w:type="paragraph" w:customStyle="1" w:styleId="471">
    <w:name w:val="xl146"/>
    <w:basedOn w:val="1"/>
    <w:qFormat/>
    <w:uiPriority w:val="0"/>
    <w:pPr>
      <w:widowControl/>
      <w:spacing w:before="100" w:beforeAutospacing="1" w:after="100" w:afterAutospacing="1"/>
      <w:jc w:val="left"/>
    </w:pPr>
    <w:rPr>
      <w:rFonts w:ascii="新宋体" w:hAnsi="新宋体" w:eastAsia="新宋体" w:cs="宋体"/>
      <w:bCs w:val="0"/>
      <w:kern w:val="0"/>
    </w:rPr>
  </w:style>
  <w:style w:type="paragraph" w:customStyle="1" w:styleId="472">
    <w:name w:val="xl147"/>
    <w:basedOn w:val="1"/>
    <w:qFormat/>
    <w:uiPriority w:val="0"/>
    <w:pPr>
      <w:widowControl/>
      <w:spacing w:before="100" w:beforeAutospacing="1" w:after="100" w:afterAutospacing="1"/>
      <w:jc w:val="left"/>
    </w:pPr>
    <w:rPr>
      <w:rFonts w:ascii="新宋体" w:hAnsi="新宋体" w:eastAsia="新宋体" w:cs="宋体"/>
      <w:bCs w:val="0"/>
      <w:kern w:val="0"/>
    </w:rPr>
  </w:style>
  <w:style w:type="paragraph" w:customStyle="1" w:styleId="473">
    <w:name w:val="xl148"/>
    <w:basedOn w:val="1"/>
    <w:qFormat/>
    <w:uiPriority w:val="0"/>
    <w:pPr>
      <w:widowControl/>
      <w:spacing w:before="100" w:beforeAutospacing="1" w:after="100" w:afterAutospacing="1"/>
      <w:jc w:val="left"/>
    </w:pPr>
    <w:rPr>
      <w:rFonts w:ascii="新宋体" w:hAnsi="新宋体" w:eastAsia="新宋体" w:cs="宋体"/>
      <w:bCs w:val="0"/>
      <w:kern w:val="0"/>
    </w:rPr>
  </w:style>
  <w:style w:type="paragraph" w:customStyle="1" w:styleId="474">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sz w:val="22"/>
      <w:szCs w:val="22"/>
    </w:rPr>
  </w:style>
  <w:style w:type="paragraph" w:customStyle="1" w:styleId="475">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kern w:val="0"/>
    </w:rPr>
  </w:style>
  <w:style w:type="paragraph" w:customStyle="1" w:styleId="476">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新宋体" w:hAnsi="新宋体" w:eastAsia="新宋体" w:cs="宋体"/>
      <w:bCs w:val="0"/>
      <w:kern w:val="0"/>
    </w:rPr>
  </w:style>
  <w:style w:type="paragraph" w:customStyle="1" w:styleId="477">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kern w:val="0"/>
    </w:rPr>
  </w:style>
  <w:style w:type="paragraph" w:customStyle="1" w:styleId="478">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kern w:val="0"/>
    </w:rPr>
  </w:style>
  <w:style w:type="paragraph" w:customStyle="1" w:styleId="479">
    <w:name w:val="xl1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
      <w:color w:val="FF0000"/>
      <w:kern w:val="0"/>
    </w:rPr>
  </w:style>
  <w:style w:type="paragraph" w:customStyle="1" w:styleId="480">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
      <w:color w:val="FF0000"/>
      <w:kern w:val="0"/>
    </w:rPr>
  </w:style>
  <w:style w:type="paragraph" w:customStyle="1" w:styleId="481">
    <w:name w:val="xl1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pPr>
    <w:rPr>
      <w:rFonts w:ascii="新宋体" w:hAnsi="新宋体" w:eastAsia="新宋体" w:cs="宋体"/>
      <w:b/>
      <w:color w:val="FF0000"/>
      <w:kern w:val="0"/>
    </w:rPr>
  </w:style>
  <w:style w:type="paragraph" w:customStyle="1" w:styleId="482">
    <w:name w:val="xl157"/>
    <w:basedOn w:val="1"/>
    <w:qFormat/>
    <w:uiPriority w:val="0"/>
    <w:pPr>
      <w:widowControl/>
      <w:spacing w:before="100" w:beforeAutospacing="1" w:after="100" w:afterAutospacing="1"/>
      <w:jc w:val="right"/>
    </w:pPr>
    <w:rPr>
      <w:rFonts w:ascii="新宋体" w:hAnsi="新宋体" w:eastAsia="新宋体" w:cs="宋体"/>
      <w:bCs w:val="0"/>
      <w:kern w:val="0"/>
    </w:rPr>
  </w:style>
  <w:style w:type="paragraph" w:customStyle="1" w:styleId="483">
    <w:name w:val="xl15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新宋体" w:hAnsi="新宋体" w:eastAsia="新宋体" w:cs="宋体"/>
      <w:bCs w:val="0"/>
      <w:kern w:val="0"/>
    </w:rPr>
  </w:style>
  <w:style w:type="paragraph" w:customStyle="1" w:styleId="484">
    <w:name w:val="xl1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cs="宋体"/>
      <w:bCs w:val="0"/>
      <w:color w:val="000000"/>
      <w:kern w:val="0"/>
    </w:rPr>
  </w:style>
  <w:style w:type="paragraph" w:customStyle="1" w:styleId="485">
    <w:name w:val="xl1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w:hAnsi="Arial" w:cs="Arial"/>
      <w:bCs w:val="0"/>
      <w:color w:val="000000"/>
      <w:kern w:val="0"/>
    </w:rPr>
  </w:style>
  <w:style w:type="paragraph" w:customStyle="1" w:styleId="486">
    <w:name w:val="xl1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Cs w:val="0"/>
      <w:kern w:val="0"/>
    </w:rPr>
  </w:style>
  <w:style w:type="paragraph" w:customStyle="1" w:styleId="487">
    <w:name w:val="xl1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Cs w:val="0"/>
      <w:kern w:val="0"/>
    </w:rPr>
  </w:style>
  <w:style w:type="paragraph" w:customStyle="1" w:styleId="488">
    <w:name w:val="xl1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Cs w:val="0"/>
      <w:kern w:val="0"/>
    </w:rPr>
  </w:style>
  <w:style w:type="paragraph" w:customStyle="1" w:styleId="489">
    <w:name w:val="xl1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新宋体" w:hAnsi="新宋体" w:eastAsia="新宋体" w:cs="宋体"/>
      <w:b/>
      <w:kern w:val="0"/>
    </w:rPr>
  </w:style>
  <w:style w:type="paragraph" w:customStyle="1" w:styleId="490">
    <w:name w:val="xl1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Cs w:val="0"/>
      <w:kern w:val="0"/>
    </w:rPr>
  </w:style>
  <w:style w:type="paragraph" w:customStyle="1" w:styleId="491">
    <w:name w:val="xl1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Cs w:val="0"/>
      <w:kern w:val="0"/>
    </w:rPr>
  </w:style>
  <w:style w:type="paragraph" w:customStyle="1" w:styleId="492">
    <w:name w:val="xl1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新宋体" w:hAnsi="新宋体" w:eastAsia="新宋体" w:cs="宋体"/>
      <w:bCs w:val="0"/>
      <w:kern w:val="0"/>
    </w:rPr>
  </w:style>
  <w:style w:type="paragraph" w:customStyle="1" w:styleId="493">
    <w:name w:val="xl1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宋体" w:hAnsi="宋体" w:cs="宋体"/>
      <w:bCs w:val="0"/>
      <w:kern w:val="0"/>
    </w:rPr>
  </w:style>
  <w:style w:type="paragraph" w:customStyle="1" w:styleId="494">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Cs w:val="0"/>
      <w:kern w:val="0"/>
    </w:rPr>
  </w:style>
  <w:style w:type="paragraph" w:customStyle="1" w:styleId="495">
    <w:name w:val="xl1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rFonts w:ascii="宋体" w:hAnsi="宋体" w:cs="宋体"/>
      <w:bCs w:val="0"/>
      <w:kern w:val="0"/>
    </w:rPr>
  </w:style>
  <w:style w:type="paragraph" w:customStyle="1" w:styleId="496">
    <w:name w:val="xl1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Cs w:val="0"/>
      <w:kern w:val="0"/>
    </w:rPr>
  </w:style>
  <w:style w:type="paragraph" w:customStyle="1" w:styleId="497">
    <w:name w:val="xl1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新宋体" w:hAnsi="新宋体" w:eastAsia="新宋体" w:cs="宋体"/>
      <w:bCs w:val="0"/>
      <w:kern w:val="0"/>
    </w:rPr>
  </w:style>
  <w:style w:type="paragraph" w:customStyle="1" w:styleId="498">
    <w:name w:val="xl173"/>
    <w:basedOn w:val="1"/>
    <w:qFormat/>
    <w:uiPriority w:val="0"/>
    <w:pPr>
      <w:widowControl/>
      <w:spacing w:before="100" w:beforeAutospacing="1" w:after="100" w:afterAutospacing="1"/>
      <w:jc w:val="center"/>
    </w:pPr>
    <w:rPr>
      <w:rFonts w:ascii="黑体" w:hAnsi="宋体" w:eastAsia="黑体" w:cs="宋体"/>
      <w:b/>
      <w:kern w:val="0"/>
      <w:sz w:val="40"/>
      <w:szCs w:val="40"/>
    </w:rPr>
  </w:style>
  <w:style w:type="paragraph" w:customStyle="1" w:styleId="499">
    <w:name w:val="xl174"/>
    <w:basedOn w:val="1"/>
    <w:qFormat/>
    <w:uiPriority w:val="0"/>
    <w:pPr>
      <w:widowControl/>
      <w:spacing w:before="100" w:beforeAutospacing="1" w:after="100" w:afterAutospacing="1"/>
      <w:jc w:val="center"/>
    </w:pPr>
    <w:rPr>
      <w:b/>
      <w:kern w:val="0"/>
      <w:sz w:val="40"/>
      <w:szCs w:val="40"/>
    </w:rPr>
  </w:style>
  <w:style w:type="paragraph" w:customStyle="1" w:styleId="500">
    <w:name w:val="xl175"/>
    <w:basedOn w:val="1"/>
    <w:qFormat/>
    <w:uiPriority w:val="0"/>
    <w:pPr>
      <w:widowControl/>
      <w:pBdr>
        <w:bottom w:val="single" w:color="auto" w:sz="4" w:space="0"/>
      </w:pBdr>
      <w:spacing w:before="100" w:beforeAutospacing="1" w:after="100" w:afterAutospacing="1"/>
      <w:jc w:val="center"/>
    </w:pPr>
    <w:rPr>
      <w:rFonts w:ascii="黑体" w:hAnsi="宋体" w:eastAsia="黑体" w:cs="宋体"/>
      <w:bCs w:val="0"/>
      <w:kern w:val="0"/>
      <w:szCs w:val="28"/>
    </w:rPr>
  </w:style>
  <w:style w:type="paragraph" w:customStyle="1" w:styleId="501">
    <w:name w:val="xl176"/>
    <w:basedOn w:val="1"/>
    <w:qFormat/>
    <w:uiPriority w:val="0"/>
    <w:pPr>
      <w:widowControl/>
      <w:pBdr>
        <w:bottom w:val="single" w:color="auto" w:sz="4" w:space="0"/>
      </w:pBdr>
      <w:spacing w:before="100" w:beforeAutospacing="1" w:after="100" w:afterAutospacing="1"/>
      <w:jc w:val="center"/>
    </w:pPr>
    <w:rPr>
      <w:bCs w:val="0"/>
      <w:kern w:val="0"/>
      <w:szCs w:val="28"/>
    </w:rPr>
  </w:style>
  <w:style w:type="paragraph" w:customStyle="1" w:styleId="502">
    <w:name w:val="xl177"/>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ascii="黑体" w:hAnsi="宋体" w:eastAsia="黑体" w:cs="宋体"/>
      <w:bCs w:val="0"/>
      <w:kern w:val="0"/>
    </w:rPr>
  </w:style>
  <w:style w:type="paragraph" w:customStyle="1" w:styleId="503">
    <w:name w:val="xl178"/>
    <w:basedOn w:val="1"/>
    <w:qFormat/>
    <w:uiPriority w:val="0"/>
    <w:pPr>
      <w:widowControl/>
      <w:pBdr>
        <w:top w:val="single" w:color="auto" w:sz="8" w:space="0"/>
        <w:bottom w:val="single" w:color="auto" w:sz="4" w:space="0"/>
      </w:pBdr>
      <w:spacing w:before="100" w:beforeAutospacing="1" w:after="100" w:afterAutospacing="1"/>
      <w:jc w:val="center"/>
    </w:pPr>
    <w:rPr>
      <w:bCs w:val="0"/>
      <w:kern w:val="0"/>
    </w:rPr>
  </w:style>
  <w:style w:type="paragraph" w:customStyle="1" w:styleId="504">
    <w:name w:val="xl179"/>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bCs w:val="0"/>
      <w:kern w:val="0"/>
    </w:rPr>
  </w:style>
  <w:style w:type="paragraph" w:customStyle="1" w:styleId="505">
    <w:name w:val="xl180"/>
    <w:basedOn w:val="1"/>
    <w:qFormat/>
    <w:uiPriority w:val="0"/>
    <w:pPr>
      <w:widowControl/>
      <w:pBdr>
        <w:top w:val="single" w:color="auto" w:sz="8" w:space="0"/>
        <w:left w:val="single" w:color="auto" w:sz="4" w:space="0"/>
      </w:pBdr>
      <w:spacing w:before="100" w:beforeAutospacing="1" w:after="100" w:afterAutospacing="1"/>
      <w:jc w:val="center"/>
    </w:pPr>
    <w:rPr>
      <w:rFonts w:ascii="黑体" w:hAnsi="宋体" w:eastAsia="黑体" w:cs="宋体"/>
      <w:bCs w:val="0"/>
      <w:kern w:val="0"/>
    </w:rPr>
  </w:style>
  <w:style w:type="paragraph" w:customStyle="1" w:styleId="506">
    <w:name w:val="xl181"/>
    <w:basedOn w:val="1"/>
    <w:qFormat/>
    <w:uiPriority w:val="0"/>
    <w:pPr>
      <w:widowControl/>
      <w:pBdr>
        <w:top w:val="single" w:color="auto" w:sz="8" w:space="0"/>
      </w:pBdr>
      <w:spacing w:before="100" w:beforeAutospacing="1" w:after="100" w:afterAutospacing="1"/>
      <w:jc w:val="center"/>
    </w:pPr>
    <w:rPr>
      <w:bCs w:val="0"/>
      <w:kern w:val="0"/>
    </w:rPr>
  </w:style>
  <w:style w:type="paragraph" w:customStyle="1" w:styleId="507">
    <w:name w:val="xl182"/>
    <w:basedOn w:val="1"/>
    <w:qFormat/>
    <w:uiPriority w:val="0"/>
    <w:pPr>
      <w:widowControl/>
      <w:pBdr>
        <w:top w:val="single" w:color="auto" w:sz="8" w:space="0"/>
        <w:right w:val="single" w:color="auto" w:sz="4" w:space="0"/>
      </w:pBdr>
      <w:spacing w:before="100" w:beforeAutospacing="1" w:after="100" w:afterAutospacing="1"/>
      <w:jc w:val="center"/>
    </w:pPr>
    <w:rPr>
      <w:bCs w:val="0"/>
      <w:kern w:val="0"/>
    </w:rPr>
  </w:style>
  <w:style w:type="paragraph" w:customStyle="1" w:styleId="508">
    <w:name w:val="3 Char Char Char Char Char Char Char"/>
    <w:basedOn w:val="1"/>
    <w:qFormat/>
    <w:uiPriority w:val="0"/>
    <w:pPr>
      <w:adjustRightInd w:val="0"/>
      <w:snapToGrid w:val="0"/>
      <w:spacing w:before="40" w:beforeLines="50" w:line="312" w:lineRule="auto"/>
      <w:ind w:firstLine="480"/>
      <w:jc w:val="center"/>
    </w:pPr>
    <w:rPr>
      <w:rFonts w:ascii="宋体"/>
      <w:bCs w:val="0"/>
      <w:color w:val="000000"/>
      <w:kern w:val="0"/>
    </w:rPr>
  </w:style>
  <w:style w:type="paragraph" w:customStyle="1" w:styleId="509">
    <w:name w:val="列出段落2"/>
    <w:basedOn w:val="1"/>
    <w:qFormat/>
    <w:uiPriority w:val="0"/>
    <w:pPr>
      <w:ind w:firstLine="420"/>
    </w:pPr>
    <w:rPr>
      <w:rFonts w:ascii="Calibri" w:hAnsi="Calibri"/>
      <w:bCs w:val="0"/>
      <w:szCs w:val="22"/>
    </w:rPr>
  </w:style>
  <w:style w:type="paragraph" w:customStyle="1" w:styleId="510">
    <w:name w:val="Char11"/>
    <w:basedOn w:val="1"/>
    <w:qFormat/>
    <w:uiPriority w:val="0"/>
    <w:pPr>
      <w:spacing w:before="100" w:beforeLines="100"/>
    </w:pPr>
    <w:rPr>
      <w:bCs w:val="0"/>
    </w:rPr>
  </w:style>
  <w:style w:type="paragraph" w:customStyle="1" w:styleId="511">
    <w:name w:val="zwwz"/>
    <w:basedOn w:val="1"/>
    <w:qFormat/>
    <w:uiPriority w:val="0"/>
    <w:pPr>
      <w:adjustRightInd w:val="0"/>
      <w:ind w:firstLine="567"/>
      <w:textAlignment w:val="baseline"/>
    </w:pPr>
    <w:rPr>
      <w:bCs w:val="0"/>
      <w:spacing w:val="10"/>
      <w:kern w:val="0"/>
      <w:szCs w:val="20"/>
    </w:rPr>
  </w:style>
  <w:style w:type="paragraph" w:customStyle="1" w:styleId="512">
    <w:name w:val="首行缩进 Char"/>
    <w:qFormat/>
    <w:uiPriority w:val="0"/>
    <w:pPr>
      <w:widowControl w:val="0"/>
      <w:snapToGrid w:val="0"/>
      <w:spacing w:before="120" w:beforeLines="50" w:after="120" w:afterLines="50" w:line="348" w:lineRule="auto"/>
      <w:ind w:firstLine="560" w:firstLineChars="200"/>
      <w:jc w:val="both"/>
    </w:pPr>
    <w:rPr>
      <w:rFonts w:ascii="Arial" w:hAnsi="Arial" w:eastAsia="宋体" w:cs="Times New Roman"/>
      <w:snapToGrid w:val="0"/>
      <w:color w:val="000000"/>
      <w:kern w:val="2"/>
      <w:sz w:val="28"/>
      <w:szCs w:val="28"/>
      <w:lang w:val="en-US" w:eastAsia="zh-CN" w:bidi="ar-SA"/>
    </w:rPr>
  </w:style>
  <w:style w:type="paragraph" w:customStyle="1" w:styleId="513">
    <w:name w:val="对齐1"/>
    <w:qFormat/>
    <w:uiPriority w:val="0"/>
    <w:pPr>
      <w:widowControl w:val="0"/>
      <w:tabs>
        <w:tab w:val="left" w:pos="1080"/>
        <w:tab w:val="left" w:pos="4500"/>
        <w:tab w:val="left" w:pos="6120"/>
      </w:tabs>
      <w:adjustRightInd w:val="0"/>
      <w:spacing w:line="348" w:lineRule="auto"/>
      <w:ind w:firstLine="720"/>
      <w:jc w:val="both"/>
      <w:textAlignment w:val="baseline"/>
    </w:pPr>
    <w:rPr>
      <w:rFonts w:ascii="Arial" w:hAnsi="Arial" w:eastAsia="宋体" w:cs="Times New Roman"/>
      <w:color w:val="FF0000"/>
      <w:spacing w:val="10"/>
      <w:kern w:val="2"/>
      <w:sz w:val="28"/>
      <w:lang w:val="en-US" w:eastAsia="zh-CN" w:bidi="ar-SA"/>
    </w:rPr>
  </w:style>
  <w:style w:type="paragraph" w:customStyle="1" w:styleId="514">
    <w:name w:val="表格居中"/>
    <w:qFormat/>
    <w:uiPriority w:val="0"/>
    <w:pPr>
      <w:widowControl w:val="0"/>
      <w:ind w:hanging="93"/>
      <w:jc w:val="center"/>
    </w:pPr>
    <w:rPr>
      <w:rFonts w:ascii="Times New Roman" w:hAnsi="Times New Roman" w:eastAsia="宋体" w:cs="Times New Roman"/>
      <w:snapToGrid w:val="0"/>
      <w:sz w:val="21"/>
      <w:lang w:val="en-US" w:eastAsia="zh-CN" w:bidi="ar-SA"/>
    </w:rPr>
  </w:style>
  <w:style w:type="paragraph" w:customStyle="1" w:styleId="515">
    <w:name w:val="样式9"/>
    <w:basedOn w:val="1"/>
    <w:qFormat/>
    <w:uiPriority w:val="0"/>
    <w:pPr>
      <w:spacing w:line="420" w:lineRule="exact"/>
      <w:outlineLvl w:val="1"/>
    </w:pPr>
    <w:rPr>
      <w:rFonts w:ascii="宋体" w:hAnsi="宋体"/>
      <w:b/>
    </w:rPr>
  </w:style>
  <w:style w:type="paragraph" w:customStyle="1" w:styleId="516">
    <w:name w:val="编号2"/>
    <w:basedOn w:val="517"/>
    <w:qFormat/>
    <w:uiPriority w:val="0"/>
    <w:pPr>
      <w:tabs>
        <w:tab w:val="left" w:pos="210"/>
        <w:tab w:val="left" w:pos="360"/>
      </w:tabs>
      <w:ind w:left="567" w:firstLine="0"/>
    </w:pPr>
  </w:style>
  <w:style w:type="paragraph" w:customStyle="1" w:styleId="517">
    <w:name w:val="编号"/>
    <w:basedOn w:val="1"/>
    <w:qFormat/>
    <w:uiPriority w:val="0"/>
    <w:pPr>
      <w:tabs>
        <w:tab w:val="left" w:pos="210"/>
      </w:tabs>
      <w:ind w:left="992" w:hanging="210"/>
    </w:pPr>
    <w:rPr>
      <w:bCs w:val="0"/>
      <w:szCs w:val="20"/>
    </w:rPr>
  </w:style>
  <w:style w:type="paragraph" w:customStyle="1" w:styleId="518">
    <w:name w:val="样式 样式 标题 3 + 段前: 0.25 行 段后: 0.25 行 + 段前: 0.25 行 段后: 0.25 行2"/>
    <w:basedOn w:val="382"/>
    <w:qFormat/>
    <w:uiPriority w:val="0"/>
    <w:pPr>
      <w:tabs>
        <w:tab w:val="left" w:pos="210"/>
      </w:tabs>
      <w:snapToGrid/>
      <w:spacing w:before="78" w:after="78"/>
      <w:ind w:left="210" w:hanging="210"/>
    </w:pPr>
    <w:rPr>
      <w:rFonts w:cs="Times New Roman"/>
      <w:snapToGrid/>
      <w:szCs w:val="20"/>
    </w:rPr>
  </w:style>
  <w:style w:type="paragraph" w:customStyle="1" w:styleId="519">
    <w:name w:val="页脚11"/>
    <w:basedOn w:val="42"/>
    <w:qFormat/>
    <w:uiPriority w:val="0"/>
    <w:pPr>
      <w:pBdr>
        <w:top w:val="single" w:color="auto" w:sz="6" w:space="1"/>
      </w:pBdr>
    </w:pPr>
    <w:rPr>
      <w:bCs w:val="0"/>
      <w:lang w:val="zh-CN"/>
    </w:rPr>
  </w:style>
  <w:style w:type="paragraph" w:customStyle="1" w:styleId="520">
    <w:name w:val="Char Char Char1 Char Char Char Char Char Char Char"/>
    <w:basedOn w:val="1"/>
    <w:qFormat/>
    <w:uiPriority w:val="0"/>
    <w:pPr>
      <w:adjustRightInd w:val="0"/>
      <w:spacing w:line="312" w:lineRule="auto"/>
      <w:textAlignment w:val="baseline"/>
    </w:pPr>
    <w:rPr>
      <w:bCs w:val="0"/>
      <w:szCs w:val="20"/>
    </w:rPr>
  </w:style>
  <w:style w:type="paragraph" w:customStyle="1" w:styleId="521">
    <w:name w:val="Char Char Char Char Char Char Char Char Char Char Char Char Char Char Char Char Char Char Char Char Char Char Char Char Char Char Char Char Char Char Char Char Char Char Char Char Char Char Char Char11"/>
    <w:basedOn w:val="1"/>
    <w:qFormat/>
    <w:uiPriority w:val="0"/>
    <w:pPr>
      <w:tabs>
        <w:tab w:val="left" w:pos="360"/>
      </w:tabs>
    </w:pPr>
    <w:rPr>
      <w:rFonts w:ascii="楷体_GB2312" w:eastAsia="楷体_GB2312"/>
      <w:bCs w:val="0"/>
    </w:rPr>
  </w:style>
  <w:style w:type="paragraph" w:customStyle="1" w:styleId="522">
    <w:name w:val="Char Char Char1 Char Char Char Char Char Char Char1"/>
    <w:basedOn w:val="1"/>
    <w:qFormat/>
    <w:uiPriority w:val="0"/>
    <w:pPr>
      <w:adjustRightInd w:val="0"/>
      <w:spacing w:line="312" w:lineRule="auto"/>
    </w:pPr>
    <w:rPr>
      <w:bCs w:val="0"/>
      <w:szCs w:val="20"/>
    </w:rPr>
  </w:style>
  <w:style w:type="paragraph" w:customStyle="1" w:styleId="523">
    <w:name w:val="xl1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Cs w:val="0"/>
      <w:kern w:val="0"/>
    </w:rPr>
  </w:style>
  <w:style w:type="paragraph" w:customStyle="1" w:styleId="524">
    <w:name w:val="xl1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Cs w:val="0"/>
      <w:kern w:val="0"/>
    </w:rPr>
  </w:style>
  <w:style w:type="paragraph" w:customStyle="1" w:styleId="525">
    <w:name w:val="xl1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Cs w:val="0"/>
      <w:kern w:val="0"/>
    </w:rPr>
  </w:style>
  <w:style w:type="paragraph" w:customStyle="1" w:styleId="526">
    <w:name w:val="xl1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Cs w:val="0"/>
      <w:kern w:val="0"/>
    </w:rPr>
  </w:style>
  <w:style w:type="paragraph" w:customStyle="1" w:styleId="527">
    <w:name w:val="xl187"/>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bCs w:val="0"/>
      <w:kern w:val="0"/>
    </w:rPr>
  </w:style>
  <w:style w:type="paragraph" w:customStyle="1" w:styleId="528">
    <w:name w:val="xl188"/>
    <w:basedOn w:val="1"/>
    <w:qFormat/>
    <w:uiPriority w:val="0"/>
    <w:pPr>
      <w:widowControl/>
      <w:spacing w:before="100" w:beforeAutospacing="1" w:after="100" w:afterAutospacing="1"/>
      <w:jc w:val="right"/>
    </w:pPr>
    <w:rPr>
      <w:bCs w:val="0"/>
      <w:kern w:val="0"/>
    </w:rPr>
  </w:style>
  <w:style w:type="paragraph" w:customStyle="1" w:styleId="529">
    <w:name w:val="xl18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bCs w:val="0"/>
      <w:kern w:val="0"/>
    </w:rPr>
  </w:style>
  <w:style w:type="paragraph" w:customStyle="1" w:styleId="530">
    <w:name w:val="xl1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新宋体" w:hAnsi="新宋体" w:eastAsia="新宋体" w:cs="宋体"/>
      <w:bCs w:val="0"/>
      <w:kern w:val="0"/>
    </w:rPr>
  </w:style>
  <w:style w:type="paragraph" w:customStyle="1" w:styleId="531">
    <w:name w:val="xl191"/>
    <w:basedOn w:val="1"/>
    <w:qFormat/>
    <w:uiPriority w:val="0"/>
    <w:pPr>
      <w:widowControl/>
      <w:shd w:val="clear" w:color="000000" w:fill="CC99FF"/>
      <w:spacing w:before="100" w:beforeAutospacing="1" w:after="100" w:afterAutospacing="1"/>
      <w:jc w:val="right"/>
    </w:pPr>
    <w:rPr>
      <w:bCs w:val="0"/>
      <w:kern w:val="0"/>
    </w:rPr>
  </w:style>
  <w:style w:type="paragraph" w:customStyle="1" w:styleId="532">
    <w:name w:val="xl192"/>
    <w:basedOn w:val="1"/>
    <w:qFormat/>
    <w:uiPriority w:val="0"/>
    <w:pPr>
      <w:widowControl/>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jc w:val="left"/>
    </w:pPr>
    <w:rPr>
      <w:bCs w:val="0"/>
      <w:kern w:val="0"/>
    </w:rPr>
  </w:style>
  <w:style w:type="paragraph" w:customStyle="1" w:styleId="533">
    <w:name w:val="xl1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kern w:val="0"/>
    </w:rPr>
  </w:style>
  <w:style w:type="paragraph" w:customStyle="1" w:styleId="534">
    <w:name w:val="xl1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bCs w:val="0"/>
      <w:kern w:val="0"/>
    </w:rPr>
  </w:style>
  <w:style w:type="paragraph" w:customStyle="1" w:styleId="535">
    <w:name w:val="xl1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Cs w:val="0"/>
      <w:kern w:val="0"/>
    </w:rPr>
  </w:style>
  <w:style w:type="paragraph" w:customStyle="1" w:styleId="536">
    <w:name w:val="xl196"/>
    <w:basedOn w:val="1"/>
    <w:qFormat/>
    <w:uiPriority w:val="0"/>
    <w:pPr>
      <w:widowControl/>
      <w:spacing w:before="100" w:beforeAutospacing="1" w:after="100" w:afterAutospacing="1"/>
      <w:jc w:val="left"/>
    </w:pPr>
    <w:rPr>
      <w:bCs w:val="0"/>
      <w:kern w:val="0"/>
    </w:rPr>
  </w:style>
  <w:style w:type="paragraph" w:customStyle="1" w:styleId="537">
    <w:name w:val="xl197"/>
    <w:basedOn w:val="1"/>
    <w:qFormat/>
    <w:uiPriority w:val="0"/>
    <w:pPr>
      <w:widowControl/>
      <w:pBdr>
        <w:left w:val="single" w:color="auto" w:sz="8" w:space="0"/>
      </w:pBdr>
      <w:spacing w:before="100" w:beforeAutospacing="1" w:after="100" w:afterAutospacing="1"/>
      <w:jc w:val="left"/>
    </w:pPr>
    <w:rPr>
      <w:bCs w:val="0"/>
      <w:kern w:val="0"/>
    </w:rPr>
  </w:style>
  <w:style w:type="paragraph" w:customStyle="1" w:styleId="538">
    <w:name w:val="xl198"/>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bCs w:val="0"/>
      <w:kern w:val="0"/>
    </w:rPr>
  </w:style>
  <w:style w:type="paragraph" w:customStyle="1" w:styleId="539">
    <w:name w:val="xl19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bCs w:val="0"/>
      <w:kern w:val="0"/>
    </w:rPr>
  </w:style>
  <w:style w:type="paragraph" w:customStyle="1" w:styleId="540">
    <w:name w:val="xl20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bCs w:val="0"/>
      <w:kern w:val="0"/>
    </w:rPr>
  </w:style>
  <w:style w:type="paragraph" w:customStyle="1" w:styleId="541">
    <w:name w:val="xl20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bCs w:val="0"/>
      <w:kern w:val="0"/>
    </w:rPr>
  </w:style>
  <w:style w:type="paragraph" w:customStyle="1" w:styleId="542">
    <w:name w:val="xl202"/>
    <w:basedOn w:val="1"/>
    <w:qFormat/>
    <w:uiPriority w:val="0"/>
    <w:pPr>
      <w:widowControl/>
      <w:pBdr>
        <w:top w:val="single" w:color="auto" w:sz="4" w:space="0"/>
        <w:left w:val="single" w:color="auto" w:sz="4" w:space="0"/>
        <w:right w:val="single" w:color="auto" w:sz="8" w:space="0"/>
      </w:pBdr>
      <w:spacing w:before="100" w:beforeAutospacing="1" w:after="100" w:afterAutospacing="1"/>
      <w:jc w:val="right"/>
    </w:pPr>
    <w:rPr>
      <w:rFonts w:ascii="新宋体" w:hAnsi="新宋体" w:eastAsia="新宋体" w:cs="宋体"/>
      <w:bCs w:val="0"/>
      <w:kern w:val="0"/>
    </w:rPr>
  </w:style>
  <w:style w:type="paragraph" w:customStyle="1" w:styleId="543">
    <w:name w:val="xl203"/>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bCs w:val="0"/>
      <w:kern w:val="0"/>
    </w:rPr>
  </w:style>
  <w:style w:type="paragraph" w:customStyle="1" w:styleId="544">
    <w:name w:val="xl2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Cs w:val="0"/>
      <w:kern w:val="0"/>
    </w:rPr>
  </w:style>
  <w:style w:type="paragraph" w:customStyle="1" w:styleId="545">
    <w:name w:val="xl2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kern w:val="0"/>
    </w:rPr>
  </w:style>
  <w:style w:type="paragraph" w:customStyle="1" w:styleId="546">
    <w:name w:val="xl206"/>
    <w:basedOn w:val="1"/>
    <w:qFormat/>
    <w:uiPriority w:val="0"/>
    <w:pPr>
      <w:widowControl/>
      <w:spacing w:before="100" w:beforeAutospacing="1" w:after="100" w:afterAutospacing="1"/>
      <w:jc w:val="center"/>
    </w:pPr>
    <w:rPr>
      <w:rFonts w:ascii="黑体" w:hAnsi="宋体" w:eastAsia="黑体" w:cs="宋体"/>
      <w:b/>
      <w:kern w:val="0"/>
      <w:sz w:val="40"/>
      <w:szCs w:val="40"/>
    </w:rPr>
  </w:style>
  <w:style w:type="paragraph" w:customStyle="1" w:styleId="547">
    <w:name w:val="xl207"/>
    <w:basedOn w:val="1"/>
    <w:qFormat/>
    <w:uiPriority w:val="0"/>
    <w:pPr>
      <w:widowControl/>
      <w:spacing w:before="100" w:beforeAutospacing="1" w:after="100" w:afterAutospacing="1"/>
      <w:jc w:val="center"/>
    </w:pPr>
    <w:rPr>
      <w:b/>
      <w:kern w:val="0"/>
      <w:sz w:val="40"/>
      <w:szCs w:val="40"/>
    </w:rPr>
  </w:style>
  <w:style w:type="paragraph" w:customStyle="1" w:styleId="548">
    <w:name w:val="xl208"/>
    <w:basedOn w:val="1"/>
    <w:qFormat/>
    <w:uiPriority w:val="0"/>
    <w:pPr>
      <w:widowControl/>
      <w:pBdr>
        <w:bottom w:val="single" w:color="auto" w:sz="4" w:space="0"/>
      </w:pBdr>
      <w:spacing w:before="100" w:beforeAutospacing="1" w:after="100" w:afterAutospacing="1"/>
      <w:jc w:val="center"/>
    </w:pPr>
    <w:rPr>
      <w:rFonts w:ascii="黑体" w:hAnsi="宋体" w:eastAsia="黑体" w:cs="宋体"/>
      <w:bCs w:val="0"/>
      <w:kern w:val="0"/>
      <w:szCs w:val="28"/>
    </w:rPr>
  </w:style>
  <w:style w:type="paragraph" w:customStyle="1" w:styleId="549">
    <w:name w:val="xl209"/>
    <w:basedOn w:val="1"/>
    <w:qFormat/>
    <w:uiPriority w:val="0"/>
    <w:pPr>
      <w:widowControl/>
      <w:pBdr>
        <w:bottom w:val="single" w:color="auto" w:sz="4" w:space="0"/>
      </w:pBdr>
      <w:spacing w:before="100" w:beforeAutospacing="1" w:after="100" w:afterAutospacing="1"/>
      <w:jc w:val="center"/>
    </w:pPr>
    <w:rPr>
      <w:bCs w:val="0"/>
      <w:kern w:val="0"/>
      <w:szCs w:val="28"/>
    </w:rPr>
  </w:style>
  <w:style w:type="paragraph" w:customStyle="1" w:styleId="550">
    <w:name w:val="xl210"/>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ascii="黑体" w:hAnsi="宋体" w:eastAsia="黑体" w:cs="宋体"/>
      <w:bCs w:val="0"/>
      <w:kern w:val="0"/>
    </w:rPr>
  </w:style>
  <w:style w:type="paragraph" w:customStyle="1" w:styleId="551">
    <w:name w:val="xl211"/>
    <w:basedOn w:val="1"/>
    <w:qFormat/>
    <w:uiPriority w:val="0"/>
    <w:pPr>
      <w:widowControl/>
      <w:pBdr>
        <w:top w:val="single" w:color="auto" w:sz="8" w:space="0"/>
        <w:bottom w:val="single" w:color="auto" w:sz="4" w:space="0"/>
      </w:pBdr>
      <w:spacing w:before="100" w:beforeAutospacing="1" w:after="100" w:afterAutospacing="1"/>
      <w:jc w:val="center"/>
    </w:pPr>
    <w:rPr>
      <w:bCs w:val="0"/>
      <w:kern w:val="0"/>
    </w:rPr>
  </w:style>
  <w:style w:type="paragraph" w:customStyle="1" w:styleId="552">
    <w:name w:val="xl212"/>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bCs w:val="0"/>
      <w:kern w:val="0"/>
    </w:rPr>
  </w:style>
  <w:style w:type="paragraph" w:customStyle="1" w:styleId="553">
    <w:name w:val="xl213"/>
    <w:basedOn w:val="1"/>
    <w:qFormat/>
    <w:uiPriority w:val="0"/>
    <w:pPr>
      <w:widowControl/>
      <w:pBdr>
        <w:top w:val="single" w:color="auto" w:sz="8" w:space="0"/>
        <w:left w:val="single" w:color="auto" w:sz="4" w:space="0"/>
      </w:pBdr>
      <w:spacing w:before="100" w:beforeAutospacing="1" w:after="100" w:afterAutospacing="1"/>
      <w:jc w:val="center"/>
    </w:pPr>
    <w:rPr>
      <w:rFonts w:ascii="黑体" w:hAnsi="宋体" w:eastAsia="黑体" w:cs="宋体"/>
      <w:bCs w:val="0"/>
      <w:kern w:val="0"/>
    </w:rPr>
  </w:style>
  <w:style w:type="paragraph" w:customStyle="1" w:styleId="554">
    <w:name w:val="xl214"/>
    <w:basedOn w:val="1"/>
    <w:qFormat/>
    <w:uiPriority w:val="0"/>
    <w:pPr>
      <w:widowControl/>
      <w:pBdr>
        <w:top w:val="single" w:color="auto" w:sz="8" w:space="0"/>
      </w:pBdr>
      <w:spacing w:before="100" w:beforeAutospacing="1" w:after="100" w:afterAutospacing="1"/>
      <w:jc w:val="center"/>
    </w:pPr>
    <w:rPr>
      <w:bCs w:val="0"/>
      <w:kern w:val="0"/>
    </w:rPr>
  </w:style>
  <w:style w:type="paragraph" w:customStyle="1" w:styleId="555">
    <w:name w:val="xl215"/>
    <w:basedOn w:val="1"/>
    <w:qFormat/>
    <w:uiPriority w:val="0"/>
    <w:pPr>
      <w:widowControl/>
      <w:pBdr>
        <w:top w:val="single" w:color="auto" w:sz="8" w:space="0"/>
        <w:right w:val="single" w:color="auto" w:sz="4" w:space="0"/>
      </w:pBdr>
      <w:spacing w:before="100" w:beforeAutospacing="1" w:after="100" w:afterAutospacing="1"/>
      <w:jc w:val="center"/>
    </w:pPr>
    <w:rPr>
      <w:bCs w:val="0"/>
      <w:kern w:val="0"/>
    </w:rPr>
  </w:style>
  <w:style w:type="character" w:customStyle="1" w:styleId="556">
    <w:name w:val="注释标题 字符"/>
    <w:basedOn w:val="72"/>
    <w:semiHidden/>
    <w:qFormat/>
    <w:uiPriority w:val="99"/>
    <w:rPr>
      <w:rFonts w:ascii="Times New Roman" w:hAnsi="Times New Roman" w:eastAsia="宋体" w:cs="Times New Roman"/>
      <w:bCs/>
      <w:sz w:val="24"/>
      <w:szCs w:val="24"/>
    </w:rPr>
  </w:style>
  <w:style w:type="character" w:customStyle="1" w:styleId="557">
    <w:name w:val="注释标题 字符1"/>
    <w:link w:val="15"/>
    <w:qFormat/>
    <w:uiPriority w:val="0"/>
    <w:rPr>
      <w:rFonts w:ascii="宋体" w:hAnsi="Times New Roman" w:eastAsia="宋体" w:cs="Times New Roman"/>
      <w:kern w:val="0"/>
      <w:sz w:val="28"/>
      <w:szCs w:val="20"/>
      <w:lang w:val="zh-CN" w:eastAsia="zh-CN"/>
    </w:rPr>
  </w:style>
  <w:style w:type="paragraph" w:customStyle="1" w:styleId="558">
    <w:name w:val="Char Char Char Char Char Char1 Char"/>
    <w:basedOn w:val="1"/>
    <w:qFormat/>
    <w:uiPriority w:val="0"/>
    <w:rPr>
      <w:bCs w:val="0"/>
    </w:rPr>
  </w:style>
  <w:style w:type="paragraph" w:customStyle="1" w:styleId="559">
    <w:name w:val="文档"/>
    <w:basedOn w:val="1"/>
    <w:qFormat/>
    <w:uiPriority w:val="0"/>
    <w:pPr>
      <w:snapToGrid w:val="0"/>
      <w:ind w:firstLine="520"/>
    </w:pPr>
    <w:rPr>
      <w:rFonts w:hAnsi="宋体"/>
      <w:bCs w:val="0"/>
      <w:sz w:val="26"/>
      <w:szCs w:val="20"/>
    </w:rPr>
  </w:style>
  <w:style w:type="character" w:customStyle="1" w:styleId="560">
    <w:name w:val="[1]正文 Char"/>
    <w:link w:val="265"/>
    <w:qFormat/>
    <w:uiPriority w:val="0"/>
    <w:rPr>
      <w:rFonts w:ascii="Times New Roman" w:hAnsi="Times New Roman" w:eastAsia="宋体" w:cs="Times New Roman"/>
      <w:color w:val="000000"/>
      <w:kern w:val="0"/>
      <w:sz w:val="28"/>
      <w:szCs w:val="24"/>
      <w:lang w:val="zh-CN"/>
    </w:rPr>
  </w:style>
  <w:style w:type="character" w:customStyle="1" w:styleId="561">
    <w:name w:val="脚注文本 Char"/>
    <w:qFormat/>
    <w:uiPriority w:val="0"/>
    <w:rPr>
      <w:rFonts w:ascii="宋体"/>
      <w:sz w:val="24"/>
    </w:rPr>
  </w:style>
  <w:style w:type="paragraph" w:customStyle="1" w:styleId="562">
    <w:name w:val="Standard1"/>
    <w:qFormat/>
    <w:uiPriority w:val="0"/>
    <w:pPr>
      <w:widowControl w:val="0"/>
      <w:spacing w:line="420" w:lineRule="exact"/>
      <w:jc w:val="both"/>
    </w:pPr>
    <w:rPr>
      <w:rFonts w:ascii="宋体" w:hAnsi="宋体" w:eastAsia="宋体" w:cs="Times New Roman"/>
      <w:kern w:val="2"/>
      <w:sz w:val="24"/>
      <w:lang w:val="en-US" w:eastAsia="zh-CN" w:bidi="ar-SA"/>
    </w:rPr>
  </w:style>
  <w:style w:type="paragraph" w:customStyle="1" w:styleId="563">
    <w:name w:val="_Style 2"/>
    <w:basedOn w:val="1"/>
    <w:qFormat/>
    <w:uiPriority w:val="0"/>
    <w:rPr>
      <w:bCs w:val="0"/>
      <w:szCs w:val="20"/>
    </w:rPr>
  </w:style>
  <w:style w:type="paragraph" w:customStyle="1" w:styleId="564">
    <w:name w:val="正文表格"/>
    <w:basedOn w:val="1"/>
    <w:qFormat/>
    <w:uiPriority w:val="0"/>
    <w:pPr>
      <w:keepNext/>
      <w:keepLines/>
      <w:overflowPunct w:val="0"/>
      <w:adjustRightInd w:val="0"/>
      <w:spacing w:before="80"/>
      <w:jc w:val="center"/>
      <w:textAlignment w:val="bottom"/>
    </w:pPr>
    <w:rPr>
      <w:bCs w:val="0"/>
      <w:kern w:val="0"/>
      <w:szCs w:val="20"/>
    </w:rPr>
  </w:style>
  <w:style w:type="paragraph" w:customStyle="1" w:styleId="565">
    <w:name w:val="Body Text 21"/>
    <w:basedOn w:val="1"/>
    <w:qFormat/>
    <w:uiPriority w:val="0"/>
    <w:pPr>
      <w:adjustRightInd w:val="0"/>
      <w:ind w:firstLine="560"/>
      <w:textAlignment w:val="baseline"/>
    </w:pPr>
    <w:rPr>
      <w:rFonts w:ascii="宋体"/>
      <w:bCs w:val="0"/>
      <w:kern w:val="0"/>
      <w:szCs w:val="20"/>
    </w:rPr>
  </w:style>
  <w:style w:type="paragraph" w:customStyle="1" w:styleId="566">
    <w:name w:val="vanban"/>
    <w:basedOn w:val="1"/>
    <w:qFormat/>
    <w:uiPriority w:val="0"/>
    <w:pPr>
      <w:widowControl/>
      <w:spacing w:before="60" w:after="60" w:line="360" w:lineRule="exact"/>
      <w:ind w:left="1701" w:right="567" w:firstLine="567"/>
    </w:pPr>
    <w:rPr>
      <w:rFonts w:ascii=".VnTime" w:hAnsi=".VnTime"/>
      <w:bCs w:val="0"/>
      <w:color w:val="000000"/>
      <w:kern w:val="0"/>
      <w:sz w:val="26"/>
      <w:szCs w:val="20"/>
      <w:lang w:eastAsia="en-US"/>
    </w:rPr>
  </w:style>
  <w:style w:type="paragraph" w:customStyle="1" w:styleId="567">
    <w:name w:val="样式 标题 3 + 四号"/>
    <w:basedOn w:val="4"/>
    <w:qFormat/>
    <w:uiPriority w:val="0"/>
    <w:pPr>
      <w:numPr>
        <w:ilvl w:val="0"/>
        <w:numId w:val="0"/>
      </w:numPr>
      <w:spacing w:before="200" w:beforeLines="0" w:after="100" w:afterLines="0"/>
    </w:pPr>
    <w:rPr>
      <w:rFonts w:ascii="宋体" w:hAnsi="宋体"/>
      <w:b w:val="0"/>
      <w:bCs/>
      <w:szCs w:val="28"/>
      <w:lang w:val="zh-CN"/>
    </w:rPr>
  </w:style>
  <w:style w:type="paragraph" w:customStyle="1" w:styleId="568">
    <w:name w:val="样式 标题 2 + 宋体 小四 行距: 1.5 倍行距"/>
    <w:basedOn w:val="3"/>
    <w:qFormat/>
    <w:uiPriority w:val="0"/>
    <w:pPr>
      <w:numPr>
        <w:ilvl w:val="0"/>
        <w:numId w:val="0"/>
      </w:numPr>
      <w:spacing w:before="0" w:beforeLines="0" w:after="0" w:afterLines="0"/>
      <w:ind w:firstLine="200" w:firstLineChars="200"/>
    </w:pPr>
    <w:rPr>
      <w:rFonts w:ascii="宋体" w:hAnsi="宋体" w:eastAsia="宋体" w:cs="宋体"/>
      <w:sz w:val="24"/>
      <w:szCs w:val="20"/>
      <w:lang w:val="zh-CN"/>
    </w:rPr>
  </w:style>
  <w:style w:type="paragraph" w:customStyle="1" w:styleId="569">
    <w:name w:val="Char1 Char Char"/>
    <w:basedOn w:val="1"/>
    <w:semiHidden/>
    <w:qFormat/>
    <w:uiPriority w:val="0"/>
    <w:rPr>
      <w:bCs w:val="0"/>
      <w:szCs w:val="21"/>
    </w:rPr>
  </w:style>
  <w:style w:type="paragraph" w:customStyle="1" w:styleId="570">
    <w:name w:val="样式 纯文本 + 黑体 首行缩进:  2 字符"/>
    <w:basedOn w:val="35"/>
    <w:qFormat/>
    <w:uiPriority w:val="0"/>
    <w:pPr>
      <w:ind w:firstLine="480"/>
    </w:pPr>
    <w:rPr>
      <w:rFonts w:ascii="黑体"/>
      <w:bCs w:val="0"/>
      <w:lang w:val="zh-CN"/>
    </w:rPr>
  </w:style>
  <w:style w:type="paragraph" w:customStyle="1" w:styleId="571">
    <w:name w:val="纯文本2"/>
    <w:basedOn w:val="1"/>
    <w:qFormat/>
    <w:uiPriority w:val="0"/>
    <w:pPr>
      <w:adjustRightInd w:val="0"/>
      <w:textAlignment w:val="baseline"/>
    </w:pPr>
    <w:rPr>
      <w:rFonts w:ascii="宋体" w:hAnsi="Courier New"/>
      <w:bCs w:val="0"/>
      <w:szCs w:val="20"/>
    </w:rPr>
  </w:style>
  <w:style w:type="paragraph" w:customStyle="1" w:styleId="572">
    <w:name w:val="Spectab"/>
    <w:basedOn w:val="1"/>
    <w:qFormat/>
    <w:uiPriority w:val="0"/>
    <w:pPr>
      <w:widowControl/>
      <w:tabs>
        <w:tab w:val="left" w:pos="461"/>
        <w:tab w:val="left" w:pos="2981"/>
        <w:tab w:val="left" w:pos="5501"/>
      </w:tabs>
      <w:jc w:val="left"/>
    </w:pPr>
    <w:rPr>
      <w:rFonts w:ascii="Arial" w:hAnsi="Arial"/>
      <w:bCs w:val="0"/>
      <w:kern w:val="0"/>
      <w:sz w:val="22"/>
      <w:szCs w:val="20"/>
      <w:lang w:val="en-CA" w:eastAsia="en-US"/>
    </w:rPr>
  </w:style>
  <w:style w:type="paragraph" w:customStyle="1" w:styleId="573">
    <w:name w:val="样式 宋体 小四 加粗 行距: 1.5 倍行距"/>
    <w:basedOn w:val="1"/>
    <w:qFormat/>
    <w:uiPriority w:val="0"/>
    <w:rPr>
      <w:rFonts w:ascii="宋体" w:hAnsi="宋体"/>
      <w:b/>
      <w:szCs w:val="20"/>
    </w:rPr>
  </w:style>
  <w:style w:type="paragraph" w:customStyle="1" w:styleId="574">
    <w:name w:val="样式 标题 3 + 小四 行距: 1.5 倍行距"/>
    <w:basedOn w:val="4"/>
    <w:qFormat/>
    <w:uiPriority w:val="0"/>
    <w:pPr>
      <w:numPr>
        <w:ilvl w:val="0"/>
        <w:numId w:val="0"/>
      </w:numPr>
      <w:spacing w:before="0" w:beforeLines="0" w:after="0" w:afterLines="0"/>
    </w:pPr>
    <w:rPr>
      <w:rFonts w:ascii="宋体" w:hAnsi="宋体"/>
      <w:bCs/>
      <w:snapToGrid w:val="0"/>
      <w:kern w:val="0"/>
      <w:szCs w:val="20"/>
      <w:lang w:val="zh-CN"/>
    </w:rPr>
  </w:style>
  <w:style w:type="paragraph" w:customStyle="1" w:styleId="575">
    <w:name w:val="样式 标题 5H5H51 + (西文) 宋体 加粗 行距: 最小值 26 磅"/>
    <w:basedOn w:val="6"/>
    <w:qFormat/>
    <w:uiPriority w:val="0"/>
    <w:pPr>
      <w:keepNext w:val="0"/>
      <w:keepLines w:val="0"/>
      <w:numPr>
        <w:ilvl w:val="0"/>
        <w:numId w:val="0"/>
      </w:numPr>
      <w:tabs>
        <w:tab w:val="left" w:pos="1400"/>
        <w:tab w:val="left" w:pos="1701"/>
      </w:tabs>
      <w:adjustRightInd w:val="0"/>
      <w:snapToGrid w:val="0"/>
      <w:spacing w:before="0" w:after="0" w:line="520" w:lineRule="atLeast"/>
      <w:ind w:left="567"/>
    </w:pPr>
    <w:rPr>
      <w:rFonts w:ascii="Arial" w:hAnsi="Arial" w:cs="宋体"/>
      <w:b w:val="0"/>
      <w:bCs/>
      <w:kern w:val="0"/>
      <w:lang w:val="zh-CN"/>
    </w:rPr>
  </w:style>
  <w:style w:type="paragraph" w:customStyle="1" w:styleId="576">
    <w:name w:val="样式 宋体 深蓝 首行缩进:  0.74 厘米 行距: 1.5 倍行距"/>
    <w:basedOn w:val="1"/>
    <w:qFormat/>
    <w:uiPriority w:val="0"/>
    <w:pPr>
      <w:widowControl/>
      <w:spacing w:line="312" w:lineRule="auto"/>
    </w:pPr>
    <w:rPr>
      <w:rFonts w:ascii="宋体" w:hAnsi="宋体" w:cs="宋体"/>
      <w:b/>
      <w:bCs w:val="0"/>
      <w:kern w:val="0"/>
      <w:lang w:bidi="en-US"/>
    </w:rPr>
  </w:style>
  <w:style w:type="paragraph" w:customStyle="1" w:styleId="577">
    <w:name w:val="表格结尾"/>
    <w:basedOn w:val="1"/>
    <w:qFormat/>
    <w:uiPriority w:val="0"/>
    <w:pPr>
      <w:snapToGrid w:val="0"/>
      <w:spacing w:line="240" w:lineRule="atLeast"/>
    </w:pPr>
    <w:rPr>
      <w:rFonts w:eastAsia="仿宋_GB2312"/>
      <w:bCs w:val="0"/>
      <w:kern w:val="0"/>
      <w:sz w:val="10"/>
      <w:szCs w:val="10"/>
    </w:rPr>
  </w:style>
  <w:style w:type="paragraph" w:customStyle="1" w:styleId="578">
    <w:name w:val="hao01-TH"/>
    <w:next w:val="579"/>
    <w:qFormat/>
    <w:uiPriority w:val="0"/>
    <w:pPr>
      <w:spacing w:line="360" w:lineRule="auto"/>
      <w:jc w:val="center"/>
    </w:pPr>
    <w:rPr>
      <w:rFonts w:ascii="Times New Roman" w:hAnsi="Times New Roman" w:eastAsia="宋体" w:cs="Times New Roman"/>
      <w:b/>
      <w:kern w:val="2"/>
      <w:sz w:val="24"/>
      <w:lang w:val="en-US" w:eastAsia="zh-CN" w:bidi="ar-SA"/>
    </w:rPr>
  </w:style>
  <w:style w:type="paragraph" w:customStyle="1" w:styleId="579">
    <w:name w:val="hao01-0"/>
    <w:qFormat/>
    <w:uiPriority w:val="0"/>
    <w:pPr>
      <w:ind w:firstLine="200" w:firstLineChars="200"/>
    </w:pPr>
    <w:rPr>
      <w:rFonts w:ascii="Times New Roman" w:hAnsi="Times New Roman" w:eastAsia="宋体" w:cs="Times New Roman"/>
      <w:kern w:val="2"/>
      <w:sz w:val="24"/>
      <w:lang w:val="en-US" w:eastAsia="zh-CN" w:bidi="ar-SA"/>
    </w:rPr>
  </w:style>
  <w:style w:type="paragraph" w:customStyle="1" w:styleId="580">
    <w:name w:val="hao01-T"/>
    <w:next w:val="579"/>
    <w:qFormat/>
    <w:uiPriority w:val="0"/>
    <w:pPr>
      <w:jc w:val="center"/>
    </w:pPr>
    <w:rPr>
      <w:rFonts w:ascii="Times New Roman" w:hAnsi="Times New Roman" w:eastAsia="宋体" w:cs="Times New Roman"/>
      <w:kern w:val="2"/>
      <w:sz w:val="24"/>
      <w:lang w:val="en-US" w:eastAsia="zh-CN" w:bidi="ar-SA"/>
    </w:rPr>
  </w:style>
  <w:style w:type="paragraph" w:customStyle="1" w:styleId="581">
    <w:name w:val="样式 标题 11.标题 1 + Arial 四号 自动设置 两端对齐 段前: 自动 段后: 自动 上标 字距调整... + (符..."/>
    <w:basedOn w:val="1"/>
    <w:qFormat/>
    <w:uiPriority w:val="0"/>
    <w:pPr>
      <w:widowControl/>
      <w:spacing w:line="420" w:lineRule="exact"/>
      <w:jc w:val="left"/>
      <w:outlineLvl w:val="1"/>
    </w:pPr>
    <w:rPr>
      <w:rFonts w:ascii="Arial" w:cs="宋体"/>
      <w:b/>
      <w:kern w:val="44"/>
      <w:szCs w:val="20"/>
    </w:rPr>
  </w:style>
  <w:style w:type="paragraph" w:customStyle="1" w:styleId="582">
    <w:name w:val="正文格式"/>
    <w:basedOn w:val="1"/>
    <w:qFormat/>
    <w:uiPriority w:val="0"/>
    <w:pPr>
      <w:spacing w:line="420" w:lineRule="exact"/>
    </w:pPr>
    <w:rPr>
      <w:rFonts w:ascii="宋体" w:hAnsi="宋体"/>
      <w:bCs w:val="0"/>
    </w:rPr>
  </w:style>
  <w:style w:type="paragraph" w:customStyle="1" w:styleId="583">
    <w:name w:val="表格格式"/>
    <w:basedOn w:val="1"/>
    <w:qFormat/>
    <w:uiPriority w:val="0"/>
    <w:pPr>
      <w:spacing w:line="420" w:lineRule="exact"/>
      <w:jc w:val="center"/>
    </w:pPr>
    <w:rPr>
      <w:rFonts w:ascii="宋体" w:hAnsi="宋体"/>
      <w:bCs w:val="0"/>
    </w:rPr>
  </w:style>
  <w:style w:type="paragraph" w:customStyle="1" w:styleId="584">
    <w:name w:val="Char Char Char Char Char Char Char Char Char Char"/>
    <w:basedOn w:val="1"/>
    <w:qFormat/>
    <w:uiPriority w:val="0"/>
    <w:rPr>
      <w:bCs w:val="0"/>
    </w:rPr>
  </w:style>
  <w:style w:type="paragraph" w:customStyle="1" w:styleId="585">
    <w:name w:val="Body Text First Indent3"/>
    <w:basedOn w:val="24"/>
    <w:qFormat/>
    <w:uiPriority w:val="0"/>
    <w:pPr>
      <w:adjustRightInd w:val="0"/>
      <w:spacing w:after="0" w:line="312" w:lineRule="auto"/>
      <w:ind w:firstLine="567"/>
      <w:textAlignment w:val="baseline"/>
    </w:pPr>
    <w:rPr>
      <w:bCs w:val="0"/>
      <w:kern w:val="0"/>
      <w:szCs w:val="20"/>
      <w:lang w:val="zh-CN"/>
    </w:rPr>
  </w:style>
  <w:style w:type="paragraph" w:customStyle="1" w:styleId="586">
    <w:name w:val="WW-正文首行缩进"/>
    <w:basedOn w:val="24"/>
    <w:qFormat/>
    <w:uiPriority w:val="0"/>
    <w:pPr>
      <w:suppressAutoHyphens/>
      <w:spacing w:after="0" w:line="312" w:lineRule="auto"/>
      <w:ind w:firstLine="567"/>
      <w:textAlignment w:val="baseline"/>
    </w:pPr>
    <w:rPr>
      <w:bCs w:val="0"/>
      <w:kern w:val="0"/>
      <w:szCs w:val="28"/>
      <w:lang w:val="zh-CN"/>
    </w:rPr>
  </w:style>
  <w:style w:type="paragraph" w:customStyle="1" w:styleId="587">
    <w:name w:val="样式 正文首行缩进 2 + 宋体"/>
    <w:basedOn w:val="55"/>
    <w:link w:val="588"/>
    <w:qFormat/>
    <w:uiPriority w:val="0"/>
    <w:pPr>
      <w:tabs>
        <w:tab w:val="right" w:leader="dot" w:pos="8504"/>
        <w:tab w:val="right" w:leader="dot" w:pos="8949"/>
      </w:tabs>
      <w:suppressAutoHyphens/>
      <w:autoSpaceDE w:val="0"/>
      <w:snapToGrid w:val="0"/>
      <w:spacing w:line="240" w:lineRule="auto"/>
      <w:ind w:left="0" w:leftChars="0" w:right="567"/>
      <w:jc w:val="left"/>
    </w:pPr>
    <w:rPr>
      <w:rFonts w:ascii="宋体" w:hAnsi="宋体"/>
      <w:bCs w:val="0"/>
      <w:kern w:val="0"/>
      <w:szCs w:val="20"/>
      <w:lang w:val="zh-CN"/>
    </w:rPr>
  </w:style>
  <w:style w:type="character" w:customStyle="1" w:styleId="588">
    <w:name w:val="样式 正文首行缩进 2 + 宋体 Char"/>
    <w:link w:val="587"/>
    <w:qFormat/>
    <w:uiPriority w:val="0"/>
    <w:rPr>
      <w:rFonts w:ascii="宋体" w:hAnsi="宋体" w:eastAsia="宋体" w:cs="Times New Roman"/>
      <w:kern w:val="0"/>
      <w:sz w:val="28"/>
      <w:szCs w:val="20"/>
      <w:lang w:val="zh-CN" w:eastAsia="zh-CN"/>
    </w:rPr>
  </w:style>
  <w:style w:type="paragraph" w:customStyle="1" w:styleId="589">
    <w:name w:val="Char Char Char Char Char Char Char"/>
    <w:basedOn w:val="1"/>
    <w:qFormat/>
    <w:uiPriority w:val="0"/>
    <w:rPr>
      <w:bCs w:val="0"/>
    </w:rPr>
  </w:style>
  <w:style w:type="paragraph" w:customStyle="1" w:styleId="590">
    <w:name w:val="正文（小四＋首行缩进）"/>
    <w:basedOn w:val="8"/>
    <w:qFormat/>
    <w:uiPriority w:val="0"/>
    <w:pPr>
      <w:tabs>
        <w:tab w:val="left" w:pos="1365"/>
      </w:tabs>
      <w:autoSpaceDE w:val="0"/>
      <w:autoSpaceDN w:val="0"/>
      <w:adjustRightInd w:val="0"/>
      <w:snapToGrid w:val="0"/>
      <w:ind w:right="34" w:rightChars="16" w:firstLine="588" w:firstLineChars="210"/>
      <w:jc w:val="left"/>
      <w:textAlignment w:val="baseline"/>
    </w:pPr>
    <w:rPr>
      <w:rFonts w:ascii="宋体" w:hAnsi="宋体"/>
      <w:bCs w:val="0"/>
      <w:szCs w:val="28"/>
    </w:rPr>
  </w:style>
  <w:style w:type="paragraph" w:customStyle="1" w:styleId="591">
    <w:name w:val="样式11"/>
    <w:basedOn w:val="1"/>
    <w:qFormat/>
    <w:uiPriority w:val="0"/>
    <w:pPr>
      <w:spacing w:line="420" w:lineRule="exact"/>
    </w:pPr>
    <w:rPr>
      <w:rFonts w:ascii="宋体"/>
      <w:b/>
      <w:bCs w:val="0"/>
      <w:szCs w:val="20"/>
    </w:rPr>
  </w:style>
  <w:style w:type="character" w:customStyle="1" w:styleId="592">
    <w:name w:val="HTML 预设格式 字符"/>
    <w:basedOn w:val="72"/>
    <w:semiHidden/>
    <w:qFormat/>
    <w:uiPriority w:val="99"/>
    <w:rPr>
      <w:rFonts w:ascii="Courier New" w:hAnsi="Courier New" w:eastAsia="宋体" w:cs="Courier New"/>
      <w:bCs/>
      <w:sz w:val="20"/>
      <w:szCs w:val="20"/>
    </w:rPr>
  </w:style>
  <w:style w:type="character" w:customStyle="1" w:styleId="593">
    <w:name w:val="HTML 预设格式 字符1"/>
    <w:link w:val="59"/>
    <w:qFormat/>
    <w:uiPriority w:val="0"/>
    <w:rPr>
      <w:rFonts w:ascii="宋体" w:hAnsi="宋体" w:eastAsia="宋体" w:cs="Times New Roman"/>
      <w:color w:val="000000"/>
      <w:kern w:val="0"/>
      <w:sz w:val="28"/>
      <w:szCs w:val="21"/>
      <w:lang w:val="zh-CN" w:eastAsia="zh-CN"/>
    </w:rPr>
  </w:style>
  <w:style w:type="character" w:customStyle="1" w:styleId="594">
    <w:name w:val="Char Char2"/>
    <w:qFormat/>
    <w:uiPriority w:val="0"/>
    <w:rPr>
      <w:rFonts w:ascii="Times New Roman" w:hAnsi="Times New Roman" w:eastAsia="宋体" w:cs="Times New Roman"/>
      <w:color w:val="000000"/>
      <w:sz w:val="32"/>
      <w:szCs w:val="24"/>
    </w:rPr>
  </w:style>
  <w:style w:type="paragraph" w:customStyle="1" w:styleId="595">
    <w:name w:val="正文可研"/>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596">
    <w:name w:val="标题 2 Char1"/>
    <w:qFormat/>
    <w:uiPriority w:val="0"/>
    <w:rPr>
      <w:rFonts w:ascii="Arial" w:hAnsi="Arial" w:eastAsia="黑体" w:cs="Times New Roman"/>
      <w:b/>
      <w:bCs/>
      <w:sz w:val="32"/>
      <w:szCs w:val="32"/>
    </w:rPr>
  </w:style>
  <w:style w:type="character" w:customStyle="1" w:styleId="597">
    <w:name w:val="标题 字符1"/>
    <w:link w:val="62"/>
    <w:qFormat/>
    <w:uiPriority w:val="0"/>
    <w:rPr>
      <w:rFonts w:ascii="Arial" w:hAnsi="Arial" w:eastAsia="宋体" w:cs="Times New Roman"/>
      <w:b/>
      <w:bCs/>
      <w:sz w:val="32"/>
      <w:szCs w:val="32"/>
      <w:lang w:val="zh-CN" w:eastAsia="zh-CN"/>
    </w:rPr>
  </w:style>
  <w:style w:type="character" w:customStyle="1" w:styleId="598">
    <w:name w:val="样式4 Char1"/>
    <w:link w:val="131"/>
    <w:qFormat/>
    <w:locked/>
    <w:uiPriority w:val="0"/>
    <w:rPr>
      <w:rFonts w:ascii="Times New Roman" w:hAnsi="Times New Roman" w:eastAsia="宋体" w:cs="Times New Roman"/>
      <w:b/>
      <w:bCs/>
      <w:color w:val="000000"/>
      <w:sz w:val="28"/>
      <w:szCs w:val="24"/>
    </w:rPr>
  </w:style>
  <w:style w:type="paragraph" w:customStyle="1" w:styleId="599">
    <w:name w:val="表样式"/>
    <w:basedOn w:val="1"/>
    <w:qFormat/>
    <w:uiPriority w:val="0"/>
    <w:pPr>
      <w:tabs>
        <w:tab w:val="left" w:pos="1950"/>
      </w:tabs>
      <w:ind w:left="1950" w:hanging="1440"/>
      <w:jc w:val="center"/>
    </w:pPr>
    <w:rPr>
      <w:rFonts w:ascii="仿宋_GB2312" w:eastAsia="黑体"/>
      <w:bCs w:val="0"/>
    </w:rPr>
  </w:style>
  <w:style w:type="paragraph" w:customStyle="1" w:styleId="600">
    <w:name w:val="样式 正文文本缩进 2 + 首行缩进:  2 字符 段前: 0.5 行 段后: 0.5 行"/>
    <w:basedOn w:val="1"/>
    <w:next w:val="1"/>
    <w:qFormat/>
    <w:uiPriority w:val="0"/>
    <w:pPr>
      <w:adjustRightInd w:val="0"/>
      <w:snapToGrid w:val="0"/>
      <w:spacing w:beforeLines="50" w:afterLines="50" w:line="520" w:lineRule="exact"/>
    </w:pPr>
    <w:rPr>
      <w:rFonts w:ascii="宋体" w:hAnsi="宋体" w:cs="宋体"/>
      <w:bCs w:val="0"/>
      <w:szCs w:val="20"/>
    </w:rPr>
  </w:style>
  <w:style w:type="character" w:customStyle="1" w:styleId="601">
    <w:name w:val="样式1 Char"/>
    <w:link w:val="130"/>
    <w:qFormat/>
    <w:locked/>
    <w:uiPriority w:val="0"/>
    <w:rPr>
      <w:rFonts w:ascii="黑体" w:hAnsi="Times New Roman" w:eastAsia="黑体" w:cs="Times New Roman"/>
      <w:b/>
      <w:bCs/>
      <w:sz w:val="30"/>
      <w:szCs w:val="24"/>
    </w:rPr>
  </w:style>
  <w:style w:type="paragraph" w:customStyle="1" w:styleId="602">
    <w:name w:val="工作标2"/>
    <w:basedOn w:val="1"/>
    <w:qFormat/>
    <w:uiPriority w:val="99"/>
    <w:pPr>
      <w:spacing w:line="560" w:lineRule="exact"/>
      <w:outlineLvl w:val="1"/>
    </w:pPr>
    <w:rPr>
      <w:rFonts w:ascii="黑体" w:hAnsi="宋体" w:eastAsia="黑体" w:cs="黑体"/>
      <w:bCs w:val="0"/>
      <w:szCs w:val="28"/>
    </w:rPr>
  </w:style>
  <w:style w:type="character" w:customStyle="1" w:styleId="603">
    <w:name w:val="样式6 Char"/>
    <w:qFormat/>
    <w:uiPriority w:val="0"/>
    <w:rPr>
      <w:kern w:val="2"/>
      <w:sz w:val="24"/>
      <w:szCs w:val="24"/>
      <w:lang w:val="zh-CN" w:eastAsia="zh-CN"/>
    </w:rPr>
  </w:style>
  <w:style w:type="paragraph" w:customStyle="1" w:styleId="604">
    <w:name w:val="Char Char1 Char Char Char Char"/>
    <w:basedOn w:val="1"/>
    <w:qFormat/>
    <w:uiPriority w:val="0"/>
    <w:rPr>
      <w:bCs w:val="0"/>
    </w:rPr>
  </w:style>
  <w:style w:type="paragraph" w:customStyle="1" w:styleId="605">
    <w:name w:val="msonormal"/>
    <w:basedOn w:val="1"/>
    <w:qFormat/>
    <w:uiPriority w:val="0"/>
    <w:pPr>
      <w:widowControl/>
      <w:spacing w:before="100" w:beforeAutospacing="1" w:after="100" w:afterAutospacing="1"/>
      <w:jc w:val="left"/>
    </w:pPr>
    <w:rPr>
      <w:rFonts w:ascii="宋体" w:hAnsi="宋体" w:cs="宋体"/>
      <w:bCs w:val="0"/>
      <w:kern w:val="0"/>
    </w:rPr>
  </w:style>
  <w:style w:type="paragraph" w:customStyle="1" w:styleId="606">
    <w:name w:val="font17"/>
    <w:basedOn w:val="1"/>
    <w:qFormat/>
    <w:uiPriority w:val="0"/>
    <w:pPr>
      <w:widowControl/>
      <w:spacing w:before="100" w:beforeAutospacing="1" w:after="100" w:afterAutospacing="1"/>
      <w:jc w:val="left"/>
    </w:pPr>
    <w:rPr>
      <w:rFonts w:ascii="宋体" w:hAnsi="宋体" w:cs="宋体"/>
      <w:bCs w:val="0"/>
      <w:color w:val="008000"/>
      <w:kern w:val="0"/>
      <w:sz w:val="18"/>
      <w:szCs w:val="18"/>
    </w:rPr>
  </w:style>
  <w:style w:type="paragraph" w:customStyle="1" w:styleId="607">
    <w:name w:val="font18"/>
    <w:basedOn w:val="1"/>
    <w:qFormat/>
    <w:uiPriority w:val="0"/>
    <w:pPr>
      <w:widowControl/>
      <w:spacing w:before="100" w:beforeAutospacing="1" w:after="100" w:afterAutospacing="1"/>
      <w:jc w:val="left"/>
    </w:pPr>
    <w:rPr>
      <w:rFonts w:ascii="宋体" w:hAnsi="宋体" w:cs="宋体"/>
      <w:bCs w:val="0"/>
      <w:color w:val="FF0000"/>
      <w:kern w:val="0"/>
      <w:sz w:val="18"/>
      <w:szCs w:val="18"/>
    </w:rPr>
  </w:style>
  <w:style w:type="paragraph" w:customStyle="1" w:styleId="608">
    <w:name w:val="font19"/>
    <w:basedOn w:val="1"/>
    <w:qFormat/>
    <w:uiPriority w:val="0"/>
    <w:pPr>
      <w:widowControl/>
      <w:spacing w:before="100" w:beforeAutospacing="1" w:after="100" w:afterAutospacing="1"/>
      <w:jc w:val="left"/>
    </w:pPr>
    <w:rPr>
      <w:rFonts w:ascii="宋体" w:hAnsi="宋体" w:cs="宋体"/>
      <w:bCs w:val="0"/>
      <w:kern w:val="0"/>
      <w:sz w:val="18"/>
      <w:szCs w:val="18"/>
    </w:rPr>
  </w:style>
  <w:style w:type="paragraph" w:customStyle="1" w:styleId="609">
    <w:name w:val="font20"/>
    <w:basedOn w:val="1"/>
    <w:qFormat/>
    <w:uiPriority w:val="0"/>
    <w:pPr>
      <w:widowControl/>
      <w:spacing w:before="100" w:beforeAutospacing="1" w:after="100" w:afterAutospacing="1"/>
      <w:jc w:val="left"/>
    </w:pPr>
    <w:rPr>
      <w:rFonts w:ascii="宋体" w:hAnsi="宋体" w:cs="宋体"/>
      <w:bCs w:val="0"/>
      <w:color w:val="000000"/>
      <w:kern w:val="0"/>
      <w:sz w:val="18"/>
      <w:szCs w:val="18"/>
    </w:rPr>
  </w:style>
  <w:style w:type="paragraph" w:customStyle="1" w:styleId="610">
    <w:name w:val="font21"/>
    <w:basedOn w:val="1"/>
    <w:qFormat/>
    <w:uiPriority w:val="0"/>
    <w:pPr>
      <w:widowControl/>
      <w:spacing w:before="100" w:beforeAutospacing="1" w:after="100" w:afterAutospacing="1"/>
      <w:jc w:val="left"/>
    </w:pPr>
    <w:rPr>
      <w:rFonts w:ascii="宋体" w:hAnsi="宋体" w:cs="宋体"/>
      <w:bCs w:val="0"/>
      <w:color w:val="FF0000"/>
      <w:kern w:val="0"/>
      <w:sz w:val="16"/>
      <w:szCs w:val="16"/>
    </w:rPr>
  </w:style>
  <w:style w:type="paragraph" w:customStyle="1" w:styleId="611">
    <w:name w:val="font22"/>
    <w:basedOn w:val="1"/>
    <w:qFormat/>
    <w:uiPriority w:val="0"/>
    <w:pPr>
      <w:widowControl/>
      <w:spacing w:before="100" w:beforeAutospacing="1" w:after="100" w:afterAutospacing="1"/>
      <w:jc w:val="left"/>
    </w:pPr>
    <w:rPr>
      <w:b/>
      <w:color w:val="000000"/>
      <w:kern w:val="0"/>
      <w:sz w:val="18"/>
      <w:szCs w:val="18"/>
    </w:rPr>
  </w:style>
  <w:style w:type="paragraph" w:customStyle="1" w:styleId="612">
    <w:name w:val="报告书正文"/>
    <w:basedOn w:val="1"/>
    <w:link w:val="613"/>
    <w:qFormat/>
    <w:uiPriority w:val="0"/>
    <w:rPr>
      <w:bCs w:val="0"/>
      <w:lang w:val="zh-CN"/>
    </w:rPr>
  </w:style>
  <w:style w:type="character" w:customStyle="1" w:styleId="613">
    <w:name w:val="报告书正文 Char"/>
    <w:link w:val="612"/>
    <w:qFormat/>
    <w:uiPriority w:val="0"/>
    <w:rPr>
      <w:rFonts w:ascii="Times New Roman" w:hAnsi="Times New Roman" w:eastAsia="宋体" w:cs="Times New Roman"/>
      <w:sz w:val="24"/>
      <w:szCs w:val="24"/>
      <w:lang w:val="zh-CN" w:eastAsia="zh-CN"/>
    </w:rPr>
  </w:style>
  <w:style w:type="character" w:customStyle="1" w:styleId="614">
    <w:name w:val="text-tag"/>
    <w:qFormat/>
    <w:uiPriority w:val="0"/>
  </w:style>
  <w:style w:type="character" w:customStyle="1" w:styleId="615">
    <w:name w:val="标题 3 字符1"/>
    <w:basedOn w:val="72"/>
    <w:qFormat/>
    <w:uiPriority w:val="0"/>
    <w:rPr>
      <w:rFonts w:ascii="Times New Roman" w:hAnsi="Times New Roman" w:eastAsia="黑体" w:cs="Times New Roman"/>
      <w:b/>
      <w:bCs/>
      <w:color w:val="000000"/>
      <w:sz w:val="32"/>
      <w:szCs w:val="32"/>
    </w:rPr>
  </w:style>
  <w:style w:type="paragraph" w:customStyle="1" w:styleId="616">
    <w:name w:val="修订11"/>
    <w:hidden/>
    <w:qFormat/>
    <w:uiPriority w:val="99"/>
    <w:rPr>
      <w:rFonts w:asciiTheme="minorHAnsi" w:hAnsiTheme="minorHAnsi" w:eastAsiaTheme="minorEastAsia" w:cstheme="minorBidi"/>
      <w:kern w:val="2"/>
      <w:sz w:val="21"/>
      <w:szCs w:val="22"/>
      <w:lang w:val="en-US" w:eastAsia="zh-CN" w:bidi="ar-SA"/>
    </w:rPr>
  </w:style>
  <w:style w:type="paragraph" w:customStyle="1" w:styleId="617">
    <w:name w:val="&quot;样式5&quot;"/>
    <w:basedOn w:val="1"/>
    <w:qFormat/>
    <w:uiPriority w:val="0"/>
    <w:pPr>
      <w:snapToGrid w:val="0"/>
      <w:ind w:firstLine="500"/>
    </w:pPr>
    <w:rPr>
      <w:bCs w:val="0"/>
    </w:rPr>
  </w:style>
  <w:style w:type="paragraph" w:customStyle="1" w:styleId="618">
    <w:name w:val="&quot;1正文&quot;"/>
    <w:basedOn w:val="1"/>
    <w:qFormat/>
    <w:uiPriority w:val="0"/>
    <w:pPr>
      <w:ind w:firstLine="180"/>
    </w:pPr>
    <w:rPr>
      <w:bCs w:val="0"/>
      <w:color w:val="000000"/>
    </w:rPr>
  </w:style>
  <w:style w:type="character" w:customStyle="1" w:styleId="619">
    <w:name w:val="text_jpgzj"/>
    <w:basedOn w:val="72"/>
    <w:qFormat/>
    <w:uiPriority w:val="0"/>
  </w:style>
  <w:style w:type="paragraph" w:customStyle="1" w:styleId="620">
    <w:name w:val="正文3"/>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17.png"/><Relationship Id="rId44" Type="http://schemas.openxmlformats.org/officeDocument/2006/relationships/image" Target="media/image16.png"/><Relationship Id="rId43" Type="http://schemas.openxmlformats.org/officeDocument/2006/relationships/image" Target="media/image15.jpeg"/><Relationship Id="rId42" Type="http://schemas.openxmlformats.org/officeDocument/2006/relationships/image" Target="media/image14.emf"/><Relationship Id="rId41" Type="http://schemas.openxmlformats.org/officeDocument/2006/relationships/oleObject" Target="embeddings/oleObject10.bin"/><Relationship Id="rId40" Type="http://schemas.openxmlformats.org/officeDocument/2006/relationships/image" Target="media/image13.emf"/><Relationship Id="rId4" Type="http://schemas.openxmlformats.org/officeDocument/2006/relationships/endnotes" Target="endnotes.xml"/><Relationship Id="rId39" Type="http://schemas.openxmlformats.org/officeDocument/2006/relationships/oleObject" Target="embeddings/oleObject9.bin"/><Relationship Id="rId38" Type="http://schemas.openxmlformats.org/officeDocument/2006/relationships/image" Target="media/image12.emf"/><Relationship Id="rId37" Type="http://schemas.openxmlformats.org/officeDocument/2006/relationships/oleObject" Target="embeddings/oleObject8.bin"/><Relationship Id="rId36" Type="http://schemas.openxmlformats.org/officeDocument/2006/relationships/image" Target="media/image11.emf"/><Relationship Id="rId35" Type="http://schemas.openxmlformats.org/officeDocument/2006/relationships/oleObject" Target="embeddings/oleObject7.bin"/><Relationship Id="rId34" Type="http://schemas.openxmlformats.org/officeDocument/2006/relationships/image" Target="media/image10.emf"/><Relationship Id="rId33" Type="http://schemas.openxmlformats.org/officeDocument/2006/relationships/oleObject" Target="embeddings/oleObject6.bin"/><Relationship Id="rId32" Type="http://schemas.openxmlformats.org/officeDocument/2006/relationships/image" Target="media/image9.emf"/><Relationship Id="rId31" Type="http://schemas.openxmlformats.org/officeDocument/2006/relationships/oleObject" Target="embeddings/oleObject5.bin"/><Relationship Id="rId30" Type="http://schemas.openxmlformats.org/officeDocument/2006/relationships/image" Target="media/image8.emf"/><Relationship Id="rId3" Type="http://schemas.openxmlformats.org/officeDocument/2006/relationships/footnotes" Target="footnotes.xml"/><Relationship Id="rId29" Type="http://schemas.openxmlformats.org/officeDocument/2006/relationships/oleObject" Target="embeddings/oleObject4.bin"/><Relationship Id="rId28" Type="http://schemas.openxmlformats.org/officeDocument/2006/relationships/image" Target="media/image7.emf"/><Relationship Id="rId27" Type="http://schemas.openxmlformats.org/officeDocument/2006/relationships/oleObject" Target="embeddings/oleObject3.bin"/><Relationship Id="rId26" Type="http://schemas.openxmlformats.org/officeDocument/2006/relationships/image" Target="media/image6.emf"/><Relationship Id="rId25" Type="http://schemas.openxmlformats.org/officeDocument/2006/relationships/oleObject" Target="embeddings/oleObject2.bin"/><Relationship Id="rId24" Type="http://schemas.openxmlformats.org/officeDocument/2006/relationships/image" Target="media/image5.emf"/><Relationship Id="rId23" Type="http://schemas.openxmlformats.org/officeDocument/2006/relationships/oleObject" Target="embeddings/oleObject1.bin"/><Relationship Id="rId22" Type="http://schemas.openxmlformats.org/officeDocument/2006/relationships/image" Target="media/image4.jpeg"/><Relationship Id="rId21" Type="http://schemas.openxmlformats.org/officeDocument/2006/relationships/image" Target="media/image3.png"/><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113</Pages>
  <Words>1305</Words>
  <Characters>1743</Characters>
  <Lines>531</Lines>
  <Paragraphs>149</Paragraphs>
  <TotalTime>24440</TotalTime>
  <ScaleCrop>false</ScaleCrop>
  <LinksUpToDate>false</LinksUpToDate>
  <CharactersWithSpaces>2386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2021-08-05T09:51:00Z</dcterms:created>
  <dc:creator>赵鑫</dc:creator>
  <cp:lastModifiedBy>杨晓峰</cp:lastModifiedBy>
  <cp:lastPrinted>2025-02-20T14:06:00Z</cp:lastPrinted>
  <dcterms:modified xsi:type="dcterms:W3CDTF">2026-07-16T02:16:01Z</dcterms:modified>
  <cp:revision>202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F3E93713A49040609DEF4DE08D328FC8_12</vt:lpwstr>
  </property>
  <property fmtid="{D5CDD505-2E9C-101B-9397-08002B2CF9AE}" pid="4" name="KSOTemplateDocerSaveRecord">
    <vt:lpwstr>eyJoZGlkIjoiZjc5ODE4ODFhNmVmYWFjNWE0ZGQ5N2NmMzIyMzgyYWIiLCJ1c2VySWQiOiI1NDg1NTM3MDQifQ==</vt:lpwstr>
  </property>
</Properties>
</file>